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E03" w:rsidRDefault="005E0E03" w:rsidP="005E0E03"/>
    <w:p w:rsidR="005E0E03" w:rsidRDefault="005E0E03" w:rsidP="005E0E03"/>
    <w:p w:rsidR="005E0E03" w:rsidRDefault="005E0E03" w:rsidP="005E0E03"/>
    <w:p w:rsidR="005E0E03" w:rsidRDefault="005E0E03" w:rsidP="005E0E03"/>
    <w:p w:rsidR="005E0E03" w:rsidRDefault="005E0E03" w:rsidP="005E0E03"/>
    <w:p w:rsidR="008B2BFD" w:rsidRDefault="008B2BFD" w:rsidP="005E0E03"/>
    <w:p w:rsidR="008B2BFD" w:rsidRDefault="008B2BFD" w:rsidP="005E0E03">
      <w:bookmarkStart w:id="0" w:name="_GoBack"/>
      <w:bookmarkEnd w:id="0"/>
    </w:p>
    <w:p w:rsidR="00710449" w:rsidRDefault="00710449" w:rsidP="005E0E03"/>
    <w:p w:rsidR="00710449" w:rsidRDefault="00710449" w:rsidP="005E0E03"/>
    <w:p w:rsidR="00962146" w:rsidRPr="00962146" w:rsidRDefault="008B2BFD" w:rsidP="008B2BFD">
      <w:pPr>
        <w:pStyle w:val="Fcm"/>
      </w:pPr>
      <w:r w:rsidRPr="008B2BFD">
        <w:t xml:space="preserve">PIACI HIRDETMÉNY / </w:t>
      </w:r>
      <w:r w:rsidRPr="008B2BFD">
        <w:rPr>
          <w:i/>
        </w:rPr>
        <w:t>MARKET NOTICE</w:t>
      </w:r>
    </w:p>
    <w:p w:rsidR="00962146" w:rsidRDefault="008B2BFD" w:rsidP="008B2BFD">
      <w:pPr>
        <w:pStyle w:val="Kiemeltbarna"/>
        <w:jc w:val="center"/>
      </w:pPr>
      <w:r w:rsidRPr="008B2BFD">
        <w:t xml:space="preserve">HUPX </w:t>
      </w:r>
      <w:r w:rsidR="007C2DBC">
        <w:t>DAM</w:t>
      </w:r>
      <w:r w:rsidRPr="008B2BFD">
        <w:t xml:space="preserve"> </w:t>
      </w:r>
      <w:r w:rsidRPr="007C2DBC">
        <w:rPr>
          <w:lang w:val="hu-HU"/>
        </w:rPr>
        <w:t xml:space="preserve">Másnapi </w:t>
      </w:r>
      <w:r w:rsidR="004F0BB2" w:rsidRPr="007C2DBC">
        <w:rPr>
          <w:lang w:val="hu-HU"/>
        </w:rPr>
        <w:t>Aukció</w:t>
      </w:r>
      <w:r w:rsidR="004F0BB2">
        <w:t xml:space="preserve"> </w:t>
      </w:r>
      <w:r w:rsidRPr="008B2BFD">
        <w:t xml:space="preserve">/ </w:t>
      </w:r>
      <w:r w:rsidRPr="008B2BFD">
        <w:rPr>
          <w:i/>
        </w:rPr>
        <w:t xml:space="preserve">HUPX </w:t>
      </w:r>
      <w:r w:rsidR="007C2DBC">
        <w:rPr>
          <w:i/>
        </w:rPr>
        <w:t>DAM</w:t>
      </w:r>
      <w:r w:rsidRPr="008B2BFD">
        <w:rPr>
          <w:i/>
        </w:rPr>
        <w:t xml:space="preserve"> Day-Ahead Auction</w:t>
      </w:r>
    </w:p>
    <w:p w:rsidR="00710449" w:rsidRDefault="00710449" w:rsidP="00962146"/>
    <w:p w:rsidR="008B2BFD" w:rsidRDefault="008B2BFD" w:rsidP="00962146"/>
    <w:p w:rsidR="008B2BFD" w:rsidRPr="00962146" w:rsidRDefault="008B2BFD" w:rsidP="00962146"/>
    <w:p w:rsidR="00962146" w:rsidRDefault="00962146" w:rsidP="00962146"/>
    <w:p w:rsidR="008B2BFD" w:rsidRDefault="008B2BFD" w:rsidP="00962146"/>
    <w:p w:rsidR="008B2BFD" w:rsidRDefault="008B2BFD" w:rsidP="00962146"/>
    <w:p w:rsidR="008B2BFD" w:rsidRDefault="008B2BFD" w:rsidP="00962146"/>
    <w:p w:rsidR="00C61A03" w:rsidRDefault="00C61A03" w:rsidP="00962146"/>
    <w:p w:rsidR="00C61A03" w:rsidRDefault="00C61A03" w:rsidP="00962146"/>
    <w:p w:rsidR="00C61A03" w:rsidRDefault="00C61A03" w:rsidP="00962146"/>
    <w:p w:rsidR="00C61A03" w:rsidRDefault="00C61A03" w:rsidP="00962146"/>
    <w:p w:rsidR="00FB35AD" w:rsidRDefault="00FB35AD" w:rsidP="00962146"/>
    <w:p w:rsidR="008B2BFD" w:rsidRDefault="008B2BFD" w:rsidP="00962146"/>
    <w:p w:rsidR="008B2BFD" w:rsidRPr="00962146" w:rsidRDefault="008B2BFD" w:rsidP="00962146"/>
    <w:p w:rsidR="00FE4796" w:rsidRPr="00CC5A8A" w:rsidRDefault="00FE4796" w:rsidP="00FE4796">
      <w:pPr>
        <w:pStyle w:val="Kiemeltkk"/>
        <w:tabs>
          <w:tab w:val="left" w:pos="2835"/>
        </w:tabs>
      </w:pPr>
      <w:r w:rsidRPr="007C2DBC">
        <w:rPr>
          <w:lang w:val="hu-HU"/>
        </w:rPr>
        <w:t>Iktatási szám</w:t>
      </w:r>
      <w:r w:rsidRPr="00CC5A8A">
        <w:t xml:space="preserve"> / </w:t>
      </w:r>
      <w:r w:rsidRPr="00CC5A8A">
        <w:rPr>
          <w:i/>
        </w:rPr>
        <w:t>Notice #</w:t>
      </w:r>
      <w:proofErr w:type="gramStart"/>
      <w:r w:rsidRPr="00CC5A8A">
        <w:t xml:space="preserve">:  </w:t>
      </w:r>
      <w:r w:rsidRPr="00CC5A8A">
        <w:tab/>
        <w:t>HUPX-MN-DAM-</w:t>
      </w:r>
      <w:r>
        <w:t>201</w:t>
      </w:r>
      <w:r w:rsidR="00A931C5">
        <w:t>8</w:t>
      </w:r>
      <w:r w:rsidRPr="00CC5A8A">
        <w:t>-</w:t>
      </w:r>
      <w:r w:rsidRPr="00A25F7D">
        <w:t>00</w:t>
      </w:r>
      <w:r w:rsidR="00A25F7D">
        <w:t>10</w:t>
      </w:r>
      <w:proofErr w:type="gramEnd"/>
    </w:p>
    <w:p w:rsidR="00FE4796" w:rsidRPr="00CC5A8A" w:rsidRDefault="00FE4796" w:rsidP="00FE4796">
      <w:pPr>
        <w:pStyle w:val="Kiemeltkk"/>
        <w:tabs>
          <w:tab w:val="left" w:pos="2835"/>
        </w:tabs>
      </w:pPr>
      <w:r w:rsidRPr="00932A8D">
        <w:rPr>
          <w:lang w:val="hu-HU"/>
        </w:rPr>
        <w:t>Dátum</w:t>
      </w:r>
      <w:r w:rsidRPr="00932A8D">
        <w:t xml:space="preserve"> / </w:t>
      </w:r>
      <w:r w:rsidRPr="00932A8D">
        <w:rPr>
          <w:i/>
        </w:rPr>
        <w:t>Of</w:t>
      </w:r>
      <w:r w:rsidRPr="00932A8D">
        <w:t xml:space="preserve">: </w:t>
      </w:r>
      <w:r w:rsidRPr="00932A8D">
        <w:tab/>
      </w:r>
      <w:r w:rsidR="00932A8D" w:rsidRPr="00932A8D">
        <w:t>12</w:t>
      </w:r>
      <w:r w:rsidRPr="00932A8D">
        <w:t>/</w:t>
      </w:r>
      <w:r w:rsidR="00932A8D" w:rsidRPr="00932A8D">
        <w:t>10</w:t>
      </w:r>
      <w:r w:rsidR="005A1DA3" w:rsidRPr="00932A8D">
        <w:t>/</w:t>
      </w:r>
      <w:r w:rsidRPr="00932A8D">
        <w:t>201</w:t>
      </w:r>
      <w:r w:rsidR="00BF31FA" w:rsidRPr="00932A8D">
        <w:t>8</w:t>
      </w:r>
    </w:p>
    <w:p w:rsidR="00FE4796" w:rsidRDefault="00FE4796" w:rsidP="00FE4796">
      <w:pPr>
        <w:pStyle w:val="Kiemeltkk"/>
        <w:tabs>
          <w:tab w:val="left" w:pos="2835"/>
        </w:tabs>
      </w:pPr>
      <w:r w:rsidRPr="007C2DBC">
        <w:rPr>
          <w:lang w:val="hu-HU"/>
        </w:rPr>
        <w:t>Tárgy</w:t>
      </w:r>
      <w:r w:rsidRPr="00CC5A8A">
        <w:t xml:space="preserve"> / </w:t>
      </w:r>
      <w:r w:rsidRPr="00CC5A8A">
        <w:rPr>
          <w:i/>
        </w:rPr>
        <w:t>Subject</w:t>
      </w:r>
      <w:r w:rsidRPr="00CC5A8A">
        <w:t>:</w:t>
      </w:r>
      <w:r w:rsidRPr="00CC5A8A">
        <w:tab/>
      </w:r>
      <w:r w:rsidRPr="00CC5A8A">
        <w:rPr>
          <w:lang w:val="hu-HU"/>
        </w:rPr>
        <w:t>Hatályos díjszabás és kedvezmények közzététele /</w:t>
      </w:r>
      <w:r>
        <w:t xml:space="preserve"> </w:t>
      </w:r>
    </w:p>
    <w:p w:rsidR="00FE4796" w:rsidRDefault="00FE4796" w:rsidP="00FE4796">
      <w:pPr>
        <w:pStyle w:val="Kiemeltkk"/>
        <w:tabs>
          <w:tab w:val="left" w:pos="2835"/>
        </w:tabs>
        <w:rPr>
          <w:i/>
        </w:rPr>
      </w:pPr>
      <w:r>
        <w:tab/>
      </w:r>
      <w:r>
        <w:rPr>
          <w:i/>
        </w:rPr>
        <w:t>Of</w:t>
      </w:r>
      <w:r w:rsidRPr="007E61F4">
        <w:rPr>
          <w:i/>
        </w:rPr>
        <w:t xml:space="preserve">ficial </w:t>
      </w:r>
      <w:r>
        <w:rPr>
          <w:i/>
        </w:rPr>
        <w:t>notice on prices and discounts</w:t>
      </w:r>
    </w:p>
    <w:p w:rsidR="00C61A03" w:rsidRDefault="00C61A03" w:rsidP="000331A0">
      <w:pPr>
        <w:sectPr w:rsidR="00C61A03" w:rsidSect="00C349A5">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pPr>
    </w:p>
    <w:p w:rsidR="00E17290" w:rsidRDefault="000008B7" w:rsidP="00C60BAA">
      <w:pPr>
        <w:pStyle w:val="Cmsor1"/>
      </w:pPr>
      <w:bookmarkStart w:id="1" w:name="_Toc289855392"/>
      <w:r w:rsidRPr="000C5810">
        <w:rPr>
          <w:lang w:val="hu-HU"/>
        </w:rPr>
        <w:lastRenderedPageBreak/>
        <w:t>Árjegyzék</w:t>
      </w:r>
      <w:r>
        <w:t xml:space="preserve"> / </w:t>
      </w:r>
      <w:r w:rsidR="003E7C81" w:rsidRPr="000008B7">
        <w:rPr>
          <w:i/>
        </w:rPr>
        <w:t>Price List</w:t>
      </w:r>
      <w:bookmarkEnd w:id="1"/>
    </w:p>
    <w:p w:rsidR="00AD1B1C" w:rsidRPr="00EB6FE9" w:rsidRDefault="00CF243B" w:rsidP="00C60BAA">
      <w:pPr>
        <w:pStyle w:val="Cmsor2"/>
      </w:pPr>
      <w:r w:rsidRPr="00C60BAA">
        <w:rPr>
          <w:lang w:val="hu-HU"/>
        </w:rPr>
        <w:t>Belépési díj, éves tagsági díj és egyéb fix költségek</w:t>
      </w:r>
      <w:r w:rsidRPr="00C60BAA">
        <w:t xml:space="preserve"> </w:t>
      </w:r>
      <w:r>
        <w:t xml:space="preserve">/ </w:t>
      </w:r>
      <w:r w:rsidR="00AD1B1C" w:rsidRPr="00EB6FE9">
        <w:rPr>
          <w:i/>
        </w:rPr>
        <w:t xml:space="preserve">Entrance fee, annual fees and other </w:t>
      </w:r>
      <w:r w:rsidRPr="00EB6FE9">
        <w:rPr>
          <w:i/>
        </w:rPr>
        <w:t xml:space="preserve">fixed </w:t>
      </w:r>
      <w:r w:rsidR="00AD1B1C" w:rsidRPr="00EB6FE9">
        <w:rPr>
          <w:i/>
        </w:rPr>
        <w:t>expenses</w:t>
      </w:r>
    </w:p>
    <w:p w:rsidR="00CF243B" w:rsidRPr="000C5810" w:rsidRDefault="00CF243B" w:rsidP="0022043A">
      <w:pPr>
        <w:rPr>
          <w:lang w:val="hu-HU"/>
        </w:rPr>
      </w:pPr>
      <w:r w:rsidRPr="000C5810">
        <w:rPr>
          <w:lang w:val="hu-HU"/>
        </w:rPr>
        <w:t>Az alábbi táblázatok tar</w:t>
      </w:r>
      <w:r w:rsidR="00301669" w:rsidRPr="000C5810">
        <w:rPr>
          <w:lang w:val="hu-HU"/>
        </w:rPr>
        <w:t>talmazzák a belépési díjat, az é</w:t>
      </w:r>
      <w:r w:rsidRPr="000C5810">
        <w:rPr>
          <w:lang w:val="hu-HU"/>
        </w:rPr>
        <w:t xml:space="preserve">ves tagsági díjat és a további fix költségeket a HUPX </w:t>
      </w:r>
      <w:r w:rsidR="007C2DBC">
        <w:rPr>
          <w:lang w:val="hu-HU"/>
        </w:rPr>
        <w:t>DAM</w:t>
      </w:r>
      <w:r w:rsidRPr="000C5810">
        <w:rPr>
          <w:lang w:val="hu-HU"/>
        </w:rPr>
        <w:t xml:space="preserve"> Másnapi Aukciós </w:t>
      </w:r>
      <w:r w:rsidR="00A673A7" w:rsidRPr="000C5810">
        <w:rPr>
          <w:lang w:val="hu-HU"/>
        </w:rPr>
        <w:t>piacá</w:t>
      </w:r>
      <w:r w:rsidRPr="000C5810">
        <w:rPr>
          <w:lang w:val="hu-HU"/>
        </w:rPr>
        <w:t>ra a HUPX hatályos Piaci Szabályzatával összhangban:</w:t>
      </w:r>
    </w:p>
    <w:p w:rsidR="0022043A" w:rsidRPr="00CF243B" w:rsidRDefault="0022043A" w:rsidP="0022043A">
      <w:pPr>
        <w:rPr>
          <w:i/>
        </w:rPr>
      </w:pPr>
      <w:r w:rsidRPr="00CF243B">
        <w:rPr>
          <w:i/>
        </w:rPr>
        <w:t xml:space="preserve">The following tables introduce the entrance fees, annual fees and other </w:t>
      </w:r>
      <w:r w:rsidR="0086750D">
        <w:rPr>
          <w:i/>
        </w:rPr>
        <w:t>fees</w:t>
      </w:r>
      <w:r w:rsidRPr="00CF243B">
        <w:rPr>
          <w:i/>
        </w:rPr>
        <w:t xml:space="preserve"> of the HUPX </w:t>
      </w:r>
      <w:r w:rsidR="007C2DBC">
        <w:rPr>
          <w:i/>
        </w:rPr>
        <w:t>DAM</w:t>
      </w:r>
      <w:r w:rsidR="00A673A7">
        <w:rPr>
          <w:i/>
        </w:rPr>
        <w:t xml:space="preserve"> Day-Ahead </w:t>
      </w:r>
      <w:r w:rsidRPr="00CF243B">
        <w:rPr>
          <w:i/>
        </w:rPr>
        <w:t>market in line with the Market Rules:</w:t>
      </w:r>
    </w:p>
    <w:p w:rsidR="005E5FDF" w:rsidRDefault="005E5FDF" w:rsidP="00E17290"/>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4860"/>
        <w:gridCol w:w="4860"/>
      </w:tblGrid>
      <w:tr w:rsidR="005E5FDF" w:rsidRPr="00663A12" w:rsidTr="00E80A44">
        <w:trPr>
          <w:jc w:val="center"/>
        </w:trPr>
        <w:tc>
          <w:tcPr>
            <w:tcW w:w="9720" w:type="dxa"/>
            <w:gridSpan w:val="2"/>
            <w:tcBorders>
              <w:top w:val="single" w:sz="4" w:space="0" w:color="auto"/>
              <w:left w:val="single" w:sz="4" w:space="0" w:color="auto"/>
              <w:bottom w:val="single" w:sz="4" w:space="0" w:color="auto"/>
              <w:right w:val="single" w:sz="4" w:space="0" w:color="auto"/>
            </w:tcBorders>
            <w:shd w:val="clear" w:color="auto" w:fill="00A0AF"/>
            <w:vAlign w:val="center"/>
          </w:tcPr>
          <w:p w:rsidR="005E5FDF" w:rsidRPr="00875B6E" w:rsidRDefault="005E5FDF" w:rsidP="00D10FCC">
            <w:pPr>
              <w:pStyle w:val="StlusNormlbalraFlkvr1httrKiskapitlis"/>
            </w:pPr>
            <w:r w:rsidRPr="00875B6E">
              <w:t xml:space="preserve">HUPX </w:t>
            </w:r>
            <w:r w:rsidR="004F0BB2" w:rsidRPr="007C2DBC">
              <w:rPr>
                <w:lang w:val="hu-HU"/>
              </w:rPr>
              <w:t>Árjegyzék</w:t>
            </w:r>
            <w:r w:rsidR="004F0BB2">
              <w:t xml:space="preserve"> / </w:t>
            </w:r>
            <w:r w:rsidR="004F0BB2" w:rsidRPr="004F0BB2">
              <w:rPr>
                <w:i/>
              </w:rPr>
              <w:t>HUPX</w:t>
            </w:r>
            <w:r w:rsidR="004F0BB2">
              <w:t xml:space="preserve"> </w:t>
            </w:r>
            <w:r w:rsidRPr="004F0BB2">
              <w:rPr>
                <w:i/>
              </w:rPr>
              <w:t>Price List</w:t>
            </w:r>
          </w:p>
        </w:tc>
      </w:tr>
      <w:tr w:rsidR="005E5FDF" w:rsidRPr="00663A12" w:rsidTr="003D2C53">
        <w:trPr>
          <w:jc w:val="center"/>
        </w:trPr>
        <w:tc>
          <w:tcPr>
            <w:tcW w:w="4860" w:type="dxa"/>
            <w:tcBorders>
              <w:top w:val="single" w:sz="4" w:space="0" w:color="auto"/>
              <w:left w:val="single" w:sz="4" w:space="0" w:color="auto"/>
              <w:bottom w:val="single" w:sz="4" w:space="0" w:color="auto"/>
              <w:right w:val="single" w:sz="4" w:space="0" w:color="auto"/>
            </w:tcBorders>
          </w:tcPr>
          <w:p w:rsidR="005E5FDF" w:rsidRPr="004F0BB2" w:rsidRDefault="004C78D8" w:rsidP="004C78D8">
            <w:pPr>
              <w:pStyle w:val="Normlbalra"/>
              <w:rPr>
                <w:i/>
              </w:rPr>
            </w:pPr>
            <w:r>
              <w:rPr>
                <w:lang w:val="hu-HU"/>
              </w:rPr>
              <w:t>Belépési</w:t>
            </w:r>
            <w:r w:rsidR="004F0BB2" w:rsidRPr="007C2DBC">
              <w:rPr>
                <w:lang w:val="hu-HU"/>
              </w:rPr>
              <w:t xml:space="preserve"> díj</w:t>
            </w:r>
            <w:r w:rsidR="004F0BB2">
              <w:t xml:space="preserve"> / </w:t>
            </w:r>
            <w:r w:rsidR="005E5FDF" w:rsidRPr="004F0BB2">
              <w:rPr>
                <w:i/>
              </w:rPr>
              <w:t>Entrance fee</w:t>
            </w:r>
          </w:p>
        </w:tc>
        <w:tc>
          <w:tcPr>
            <w:tcW w:w="4860" w:type="dxa"/>
            <w:tcBorders>
              <w:top w:val="single" w:sz="4" w:space="0" w:color="auto"/>
              <w:left w:val="single" w:sz="4" w:space="0" w:color="auto"/>
              <w:bottom w:val="single" w:sz="4" w:space="0" w:color="auto"/>
              <w:right w:val="single" w:sz="4" w:space="0" w:color="auto"/>
            </w:tcBorders>
            <w:vAlign w:val="center"/>
          </w:tcPr>
          <w:p w:rsidR="005E5FDF" w:rsidRPr="000077F1" w:rsidRDefault="005E5FDF" w:rsidP="003D2C53">
            <w:pPr>
              <w:pStyle w:val="Normlbalra"/>
            </w:pPr>
            <w:r w:rsidRPr="000077F1">
              <w:t>15 000 €</w:t>
            </w:r>
          </w:p>
        </w:tc>
      </w:tr>
      <w:tr w:rsidR="005E5FDF" w:rsidRPr="00663A12" w:rsidTr="003D2C53">
        <w:trPr>
          <w:jc w:val="center"/>
        </w:trPr>
        <w:tc>
          <w:tcPr>
            <w:tcW w:w="4860" w:type="dxa"/>
            <w:tcBorders>
              <w:top w:val="single" w:sz="4" w:space="0" w:color="auto"/>
              <w:left w:val="single" w:sz="4" w:space="0" w:color="auto"/>
              <w:bottom w:val="single" w:sz="4" w:space="0" w:color="auto"/>
              <w:right w:val="single" w:sz="4" w:space="0" w:color="auto"/>
            </w:tcBorders>
          </w:tcPr>
          <w:p w:rsidR="005E5FDF" w:rsidRPr="00CF0154" w:rsidRDefault="004F0BB2" w:rsidP="00D47B5B">
            <w:pPr>
              <w:pStyle w:val="Normlbalra"/>
              <w:rPr>
                <w:lang w:val="hu-HU"/>
              </w:rPr>
            </w:pPr>
            <w:r w:rsidRPr="00CF0154">
              <w:rPr>
                <w:lang w:val="hu-HU"/>
              </w:rPr>
              <w:t>Éves tag</w:t>
            </w:r>
            <w:r w:rsidR="00802DA5" w:rsidRPr="00CF0154">
              <w:rPr>
                <w:lang w:val="hu-HU"/>
              </w:rPr>
              <w:t xml:space="preserve">sági </w:t>
            </w:r>
            <w:r w:rsidRPr="00CF0154">
              <w:rPr>
                <w:lang w:val="hu-HU"/>
              </w:rPr>
              <w:t xml:space="preserve">díj / </w:t>
            </w:r>
            <w:proofErr w:type="spellStart"/>
            <w:r w:rsidR="005E5FDF" w:rsidRPr="00E968BD">
              <w:rPr>
                <w:i/>
                <w:lang w:val="hu-HU"/>
              </w:rPr>
              <w:t>Annual</w:t>
            </w:r>
            <w:proofErr w:type="spellEnd"/>
            <w:r w:rsidR="005E5FDF" w:rsidRPr="00E968BD">
              <w:rPr>
                <w:i/>
                <w:lang w:val="hu-HU"/>
              </w:rPr>
              <w:t xml:space="preserve"> </w:t>
            </w:r>
            <w:proofErr w:type="spellStart"/>
            <w:r w:rsidR="005E5FDF" w:rsidRPr="00E968BD">
              <w:rPr>
                <w:i/>
                <w:lang w:val="hu-HU"/>
              </w:rPr>
              <w:t>fee</w:t>
            </w:r>
            <w:proofErr w:type="spellEnd"/>
            <w:r w:rsidR="002E24E0">
              <w:rPr>
                <w:i/>
                <w:lang w:val="hu-HU"/>
              </w:rPr>
              <w:t>*</w:t>
            </w:r>
          </w:p>
        </w:tc>
        <w:tc>
          <w:tcPr>
            <w:tcW w:w="4860" w:type="dxa"/>
            <w:tcBorders>
              <w:top w:val="single" w:sz="4" w:space="0" w:color="auto"/>
              <w:left w:val="single" w:sz="4" w:space="0" w:color="auto"/>
              <w:bottom w:val="single" w:sz="4" w:space="0" w:color="auto"/>
              <w:right w:val="single" w:sz="4" w:space="0" w:color="auto"/>
            </w:tcBorders>
            <w:vAlign w:val="center"/>
          </w:tcPr>
          <w:p w:rsidR="005E5FDF" w:rsidRPr="00CF0154" w:rsidRDefault="00FE4796" w:rsidP="003D2C53">
            <w:pPr>
              <w:pStyle w:val="Normlbalra"/>
              <w:rPr>
                <w:lang w:val="hu-HU"/>
              </w:rPr>
            </w:pPr>
            <w:r w:rsidRPr="00CF0154">
              <w:rPr>
                <w:lang w:val="hu-HU"/>
              </w:rPr>
              <w:t>12</w:t>
            </w:r>
            <w:r w:rsidR="002E24E0">
              <w:rPr>
                <w:lang w:val="hu-HU"/>
              </w:rPr>
              <w:t> </w:t>
            </w:r>
            <w:r w:rsidRPr="00CF0154">
              <w:rPr>
                <w:lang w:val="hu-HU"/>
              </w:rPr>
              <w:t>6</w:t>
            </w:r>
            <w:r w:rsidR="005E5FDF" w:rsidRPr="00CF0154">
              <w:rPr>
                <w:lang w:val="hu-HU"/>
              </w:rPr>
              <w:t xml:space="preserve">00 € / </w:t>
            </w:r>
            <w:r w:rsidR="004F0BB2" w:rsidRPr="00CF0154">
              <w:rPr>
                <w:lang w:val="hu-HU"/>
              </w:rPr>
              <w:t xml:space="preserve">év / </w:t>
            </w:r>
            <w:proofErr w:type="spellStart"/>
            <w:r w:rsidR="005E5FDF" w:rsidRPr="0086750D">
              <w:rPr>
                <w:i/>
                <w:lang w:val="hu-HU"/>
              </w:rPr>
              <w:t>year</w:t>
            </w:r>
            <w:proofErr w:type="spellEnd"/>
          </w:p>
        </w:tc>
      </w:tr>
    </w:tbl>
    <w:p w:rsidR="00AD7D4A" w:rsidRPr="00AD7D4A" w:rsidRDefault="00AD7D4A" w:rsidP="00AD7D4A"/>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4860"/>
        <w:gridCol w:w="4860"/>
      </w:tblGrid>
      <w:tr w:rsidR="00CF562B" w:rsidRPr="00663A12" w:rsidTr="00E80A44">
        <w:trPr>
          <w:jc w:val="center"/>
        </w:trPr>
        <w:tc>
          <w:tcPr>
            <w:tcW w:w="9720" w:type="dxa"/>
            <w:gridSpan w:val="2"/>
            <w:tcBorders>
              <w:top w:val="single" w:sz="4" w:space="0" w:color="auto"/>
              <w:left w:val="single" w:sz="4" w:space="0" w:color="auto"/>
              <w:bottom w:val="single" w:sz="4" w:space="0" w:color="auto"/>
              <w:right w:val="single" w:sz="4" w:space="0" w:color="auto"/>
            </w:tcBorders>
            <w:shd w:val="clear" w:color="auto" w:fill="00A0AF"/>
            <w:vAlign w:val="center"/>
          </w:tcPr>
          <w:p w:rsidR="00CF562B" w:rsidRPr="00875B6E" w:rsidRDefault="00CF562B" w:rsidP="007C2DBC">
            <w:pPr>
              <w:pStyle w:val="StlusNormlbalraFlkvr1httrKiskapitlis"/>
            </w:pPr>
            <w:r w:rsidRPr="00875B6E">
              <w:t>HUPX</w:t>
            </w:r>
            <w:r w:rsidR="004F0BB2">
              <w:t xml:space="preserve"> </w:t>
            </w:r>
            <w:r w:rsidR="007C2DBC">
              <w:t>DAM</w:t>
            </w:r>
            <w:r w:rsidR="004F0BB2">
              <w:t xml:space="preserve"> </w:t>
            </w:r>
            <w:proofErr w:type="spellStart"/>
            <w:r w:rsidR="004F0BB2">
              <w:t>Másnapi</w:t>
            </w:r>
            <w:proofErr w:type="spellEnd"/>
            <w:r w:rsidR="004F0BB2">
              <w:t xml:space="preserve"> </w:t>
            </w:r>
            <w:proofErr w:type="spellStart"/>
            <w:r w:rsidR="004F0BB2">
              <w:t>Aukciós</w:t>
            </w:r>
            <w:proofErr w:type="spellEnd"/>
            <w:r w:rsidR="004F0BB2">
              <w:t xml:space="preserve"> </w:t>
            </w:r>
            <w:proofErr w:type="spellStart"/>
            <w:r w:rsidR="004F0BB2">
              <w:t>Árak</w:t>
            </w:r>
            <w:proofErr w:type="spellEnd"/>
            <w:r w:rsidRPr="00875B6E">
              <w:t xml:space="preserve"> </w:t>
            </w:r>
            <w:r w:rsidR="004F0BB2">
              <w:t xml:space="preserve">/ </w:t>
            </w:r>
            <w:r w:rsidRPr="004F0BB2">
              <w:rPr>
                <w:i/>
              </w:rPr>
              <w:t>Price List for HUPX Day</w:t>
            </w:r>
            <w:r w:rsidR="00950EC5" w:rsidRPr="004F0BB2">
              <w:rPr>
                <w:i/>
              </w:rPr>
              <w:t>-</w:t>
            </w:r>
            <w:r w:rsidRPr="004F0BB2">
              <w:rPr>
                <w:i/>
              </w:rPr>
              <w:t xml:space="preserve">Ahead </w:t>
            </w:r>
            <w:r w:rsidR="004F0BB2" w:rsidRPr="004F0BB2">
              <w:rPr>
                <w:i/>
              </w:rPr>
              <w:t>Auction</w:t>
            </w:r>
          </w:p>
        </w:tc>
      </w:tr>
      <w:tr w:rsidR="00CF562B" w:rsidRPr="00663A12" w:rsidTr="003D2C53">
        <w:trPr>
          <w:jc w:val="center"/>
        </w:trPr>
        <w:tc>
          <w:tcPr>
            <w:tcW w:w="4860" w:type="dxa"/>
            <w:tcBorders>
              <w:top w:val="single" w:sz="4" w:space="0" w:color="auto"/>
              <w:left w:val="single" w:sz="4" w:space="0" w:color="auto"/>
              <w:bottom w:val="single" w:sz="4" w:space="0" w:color="auto"/>
              <w:right w:val="single" w:sz="4" w:space="0" w:color="auto"/>
            </w:tcBorders>
          </w:tcPr>
          <w:p w:rsidR="00CF562B" w:rsidRPr="00BC0967" w:rsidRDefault="004F0BB2" w:rsidP="00D47B5B">
            <w:pPr>
              <w:pStyle w:val="Normlbalra"/>
            </w:pPr>
            <w:r w:rsidRPr="000C5810">
              <w:rPr>
                <w:lang w:val="hu-HU"/>
              </w:rPr>
              <w:t>Éves rendszerhasználati díj</w:t>
            </w:r>
            <w:r>
              <w:t xml:space="preserve"> / </w:t>
            </w:r>
            <w:r>
              <w:br/>
            </w:r>
            <w:r w:rsidR="00CF562B" w:rsidRPr="004F0BB2">
              <w:rPr>
                <w:i/>
              </w:rPr>
              <w:t>Annual System fees (EPEX Trading System)</w:t>
            </w:r>
            <w:r w:rsidR="002E24E0">
              <w:rPr>
                <w:i/>
              </w:rPr>
              <w:t>*</w:t>
            </w:r>
            <w:r w:rsidR="00CF562B" w:rsidRPr="004F0BB2">
              <w:rPr>
                <w:i/>
              </w:rPr>
              <w:t>*</w:t>
            </w:r>
          </w:p>
        </w:tc>
        <w:tc>
          <w:tcPr>
            <w:tcW w:w="4860" w:type="dxa"/>
            <w:tcBorders>
              <w:top w:val="single" w:sz="4" w:space="0" w:color="auto"/>
              <w:left w:val="single" w:sz="4" w:space="0" w:color="auto"/>
              <w:bottom w:val="single" w:sz="4" w:space="0" w:color="auto"/>
              <w:right w:val="single" w:sz="4" w:space="0" w:color="auto"/>
            </w:tcBorders>
            <w:vAlign w:val="center"/>
          </w:tcPr>
          <w:p w:rsidR="00CF562B" w:rsidRPr="00BC0967" w:rsidRDefault="00CF562B" w:rsidP="003D2C53">
            <w:pPr>
              <w:pStyle w:val="Normlbalra"/>
            </w:pPr>
            <w:r w:rsidRPr="00BC0967">
              <w:t xml:space="preserve">6 600 € / </w:t>
            </w:r>
            <w:r w:rsidR="00DA067E" w:rsidRPr="007C2DBC">
              <w:rPr>
                <w:lang w:val="hu-HU"/>
              </w:rPr>
              <w:t>év</w:t>
            </w:r>
            <w:r w:rsidR="00DA067E">
              <w:t xml:space="preserve"> / </w:t>
            </w:r>
            <w:r w:rsidRPr="00FD7001">
              <w:rPr>
                <w:i/>
              </w:rPr>
              <w:t>year</w:t>
            </w:r>
          </w:p>
        </w:tc>
      </w:tr>
      <w:tr w:rsidR="00CF562B" w:rsidRPr="00663A12" w:rsidTr="003D2C53">
        <w:trPr>
          <w:jc w:val="center"/>
        </w:trPr>
        <w:tc>
          <w:tcPr>
            <w:tcW w:w="4860" w:type="dxa"/>
            <w:tcBorders>
              <w:top w:val="single" w:sz="4" w:space="0" w:color="auto"/>
              <w:left w:val="single" w:sz="4" w:space="0" w:color="auto"/>
              <w:bottom w:val="single" w:sz="4" w:space="0" w:color="auto"/>
              <w:right w:val="single" w:sz="4" w:space="0" w:color="auto"/>
            </w:tcBorders>
          </w:tcPr>
          <w:p w:rsidR="00CF562B" w:rsidRPr="00BC0967" w:rsidRDefault="004F0BB2" w:rsidP="00D47B5B">
            <w:pPr>
              <w:pStyle w:val="Normlbalra"/>
            </w:pPr>
            <w:r w:rsidRPr="007C2DBC">
              <w:rPr>
                <w:lang w:val="hu-HU"/>
              </w:rPr>
              <w:t>További felhasználó</w:t>
            </w:r>
            <w:r>
              <w:t xml:space="preserve"> / </w:t>
            </w:r>
            <w:r w:rsidR="00CF562B" w:rsidRPr="004F0BB2">
              <w:rPr>
                <w:i/>
              </w:rPr>
              <w:t>Additional user</w:t>
            </w:r>
          </w:p>
        </w:tc>
        <w:tc>
          <w:tcPr>
            <w:tcW w:w="4860" w:type="dxa"/>
            <w:tcBorders>
              <w:top w:val="single" w:sz="4" w:space="0" w:color="auto"/>
              <w:left w:val="single" w:sz="4" w:space="0" w:color="auto"/>
              <w:bottom w:val="single" w:sz="4" w:space="0" w:color="auto"/>
              <w:right w:val="single" w:sz="4" w:space="0" w:color="auto"/>
            </w:tcBorders>
            <w:vAlign w:val="center"/>
          </w:tcPr>
          <w:p w:rsidR="00CF562B" w:rsidRPr="00BC0967" w:rsidRDefault="00CF562B" w:rsidP="003D2C53">
            <w:pPr>
              <w:pStyle w:val="Normlbalra"/>
            </w:pPr>
            <w:r w:rsidRPr="00BC0967">
              <w:t xml:space="preserve">3 000 € / </w:t>
            </w:r>
            <w:r w:rsidR="00DA067E" w:rsidRPr="007C2DBC">
              <w:rPr>
                <w:lang w:val="hu-HU"/>
              </w:rPr>
              <w:t>év</w:t>
            </w:r>
            <w:r w:rsidR="00DA067E">
              <w:t xml:space="preserve"> / </w:t>
            </w:r>
            <w:r w:rsidRPr="00FD7001">
              <w:rPr>
                <w:i/>
              </w:rPr>
              <w:t>year</w:t>
            </w:r>
          </w:p>
        </w:tc>
      </w:tr>
      <w:tr w:rsidR="00CF562B" w:rsidRPr="00663A12" w:rsidTr="003D2C53">
        <w:trPr>
          <w:jc w:val="center"/>
        </w:trPr>
        <w:tc>
          <w:tcPr>
            <w:tcW w:w="4860" w:type="dxa"/>
            <w:tcBorders>
              <w:top w:val="single" w:sz="4" w:space="0" w:color="auto"/>
              <w:left w:val="single" w:sz="4" w:space="0" w:color="auto"/>
              <w:bottom w:val="single" w:sz="4" w:space="0" w:color="auto"/>
              <w:right w:val="single" w:sz="4" w:space="0" w:color="auto"/>
            </w:tcBorders>
          </w:tcPr>
          <w:p w:rsidR="00CF562B" w:rsidRPr="00BC0967" w:rsidRDefault="004F0BB2" w:rsidP="00D47B5B">
            <w:pPr>
              <w:pStyle w:val="Normlbalra"/>
            </w:pPr>
            <w:r w:rsidRPr="007C2DBC">
              <w:rPr>
                <w:lang w:val="hu-HU"/>
              </w:rPr>
              <w:t xml:space="preserve">További </w:t>
            </w:r>
            <w:r w:rsidR="00585CF0" w:rsidRPr="007C2DBC">
              <w:rPr>
                <w:lang w:val="hu-HU"/>
              </w:rPr>
              <w:t>portfólió</w:t>
            </w:r>
            <w:r>
              <w:t xml:space="preserve"> / </w:t>
            </w:r>
            <w:r w:rsidR="00CF562B" w:rsidRPr="004F0BB2">
              <w:rPr>
                <w:i/>
              </w:rPr>
              <w:t>Additional portfolio</w:t>
            </w:r>
          </w:p>
        </w:tc>
        <w:tc>
          <w:tcPr>
            <w:tcW w:w="4860" w:type="dxa"/>
            <w:tcBorders>
              <w:top w:val="single" w:sz="4" w:space="0" w:color="auto"/>
              <w:left w:val="single" w:sz="4" w:space="0" w:color="auto"/>
              <w:bottom w:val="single" w:sz="4" w:space="0" w:color="auto"/>
              <w:right w:val="single" w:sz="4" w:space="0" w:color="auto"/>
            </w:tcBorders>
            <w:vAlign w:val="center"/>
          </w:tcPr>
          <w:p w:rsidR="00CF562B" w:rsidRPr="00BC0967" w:rsidRDefault="00CF562B" w:rsidP="003D2C53">
            <w:pPr>
              <w:pStyle w:val="Normlbalra"/>
            </w:pPr>
            <w:r w:rsidRPr="00BC0967">
              <w:t xml:space="preserve">2 000 € / </w:t>
            </w:r>
            <w:r w:rsidR="00DA067E" w:rsidRPr="007C2DBC">
              <w:rPr>
                <w:lang w:val="hu-HU"/>
              </w:rPr>
              <w:t>év</w:t>
            </w:r>
            <w:r w:rsidR="00DA067E">
              <w:t xml:space="preserve"> / </w:t>
            </w:r>
            <w:r w:rsidRPr="00FD7001">
              <w:rPr>
                <w:i/>
              </w:rPr>
              <w:t>year</w:t>
            </w:r>
          </w:p>
        </w:tc>
      </w:tr>
      <w:tr w:rsidR="00CF562B" w:rsidRPr="00663A12" w:rsidTr="003D2C53">
        <w:trPr>
          <w:jc w:val="center"/>
        </w:trPr>
        <w:tc>
          <w:tcPr>
            <w:tcW w:w="4860" w:type="dxa"/>
            <w:tcBorders>
              <w:top w:val="single" w:sz="4" w:space="0" w:color="auto"/>
              <w:left w:val="single" w:sz="4" w:space="0" w:color="auto"/>
              <w:bottom w:val="single" w:sz="4" w:space="0" w:color="auto"/>
              <w:right w:val="single" w:sz="4" w:space="0" w:color="auto"/>
            </w:tcBorders>
          </w:tcPr>
          <w:p w:rsidR="00CF562B" w:rsidRPr="00BC0967" w:rsidRDefault="004F0BB2" w:rsidP="00D47B5B">
            <w:pPr>
              <w:pStyle w:val="Normlbalra"/>
            </w:pPr>
            <w:r w:rsidRPr="007C2DBC">
              <w:rPr>
                <w:lang w:val="hu-HU"/>
              </w:rPr>
              <w:t xml:space="preserve">További </w:t>
            </w:r>
            <w:r w:rsidR="00802DA5" w:rsidRPr="007C2DBC">
              <w:rPr>
                <w:lang w:val="hu-HU"/>
              </w:rPr>
              <w:t xml:space="preserve">csak </w:t>
            </w:r>
            <w:r w:rsidRPr="007C2DBC">
              <w:rPr>
                <w:lang w:val="hu-HU"/>
              </w:rPr>
              <w:t>olvasási jogosultsággal rendelkező felhasználó</w:t>
            </w:r>
            <w:r>
              <w:t xml:space="preserve"> / </w:t>
            </w:r>
            <w:r w:rsidR="00802DA5">
              <w:br/>
            </w:r>
            <w:r w:rsidR="00CF562B" w:rsidRPr="004F0BB2">
              <w:rPr>
                <w:i/>
              </w:rPr>
              <w:t>Additional Read-only user</w:t>
            </w:r>
          </w:p>
        </w:tc>
        <w:tc>
          <w:tcPr>
            <w:tcW w:w="4860" w:type="dxa"/>
            <w:tcBorders>
              <w:top w:val="single" w:sz="4" w:space="0" w:color="auto"/>
              <w:left w:val="single" w:sz="4" w:space="0" w:color="auto"/>
              <w:bottom w:val="single" w:sz="4" w:space="0" w:color="auto"/>
              <w:right w:val="single" w:sz="4" w:space="0" w:color="auto"/>
            </w:tcBorders>
            <w:vAlign w:val="center"/>
          </w:tcPr>
          <w:p w:rsidR="00CF562B" w:rsidRDefault="00CF562B" w:rsidP="003D2C53">
            <w:pPr>
              <w:pStyle w:val="Normlbalra"/>
            </w:pPr>
            <w:r w:rsidRPr="00BC0967">
              <w:t xml:space="preserve">3 000 € / </w:t>
            </w:r>
            <w:r w:rsidR="00DA067E" w:rsidRPr="007C2DBC">
              <w:rPr>
                <w:lang w:val="hu-HU"/>
              </w:rPr>
              <w:t>év</w:t>
            </w:r>
            <w:r w:rsidR="00DA067E">
              <w:t xml:space="preserve"> / </w:t>
            </w:r>
            <w:r w:rsidRPr="00FD7001">
              <w:rPr>
                <w:i/>
              </w:rPr>
              <w:t>year</w:t>
            </w:r>
          </w:p>
        </w:tc>
      </w:tr>
    </w:tbl>
    <w:p w:rsidR="002E24E0" w:rsidRDefault="002E24E0" w:rsidP="002E24E0">
      <w:pPr>
        <w:spacing w:before="0" w:line="240" w:lineRule="auto"/>
        <w:jc w:val="left"/>
        <w:rPr>
          <w:i/>
          <w:sz w:val="20"/>
        </w:rPr>
      </w:pPr>
    </w:p>
    <w:p w:rsidR="0086750D" w:rsidRPr="0086750D" w:rsidRDefault="002E24E0" w:rsidP="0086750D">
      <w:pPr>
        <w:rPr>
          <w:sz w:val="20"/>
          <w:szCs w:val="20"/>
          <w:lang w:val="hu-HU"/>
        </w:rPr>
      </w:pPr>
      <w:r w:rsidRPr="0086750D">
        <w:rPr>
          <w:sz w:val="20"/>
          <w:szCs w:val="20"/>
          <w:lang w:val="hu-HU"/>
        </w:rPr>
        <w:t>*</w:t>
      </w:r>
      <w:r w:rsidR="0086750D" w:rsidRPr="0086750D">
        <w:rPr>
          <w:sz w:val="20"/>
          <w:szCs w:val="20"/>
          <w:lang w:val="hu-HU"/>
        </w:rPr>
        <w:t xml:space="preserve"> Amennyiben a HUPX tag tagsággal rendelkezik a </w:t>
      </w:r>
      <w:proofErr w:type="spellStart"/>
      <w:r w:rsidR="0086750D" w:rsidRPr="0086750D">
        <w:rPr>
          <w:sz w:val="20"/>
          <w:szCs w:val="20"/>
          <w:lang w:val="hu-HU"/>
        </w:rPr>
        <w:t>HUDEX-en</w:t>
      </w:r>
      <w:proofErr w:type="spellEnd"/>
      <w:r w:rsidR="0086750D" w:rsidRPr="0086750D">
        <w:rPr>
          <w:sz w:val="20"/>
          <w:szCs w:val="20"/>
          <w:lang w:val="hu-HU"/>
        </w:rPr>
        <w:t xml:space="preserve">, de nem tag a </w:t>
      </w:r>
      <w:proofErr w:type="spellStart"/>
      <w:r w:rsidR="0086750D" w:rsidRPr="0086750D">
        <w:rPr>
          <w:sz w:val="20"/>
          <w:szCs w:val="20"/>
          <w:lang w:val="hu-HU"/>
        </w:rPr>
        <w:t>CEEGEX-en</w:t>
      </w:r>
      <w:proofErr w:type="spellEnd"/>
      <w:r w:rsidR="0086750D" w:rsidRPr="0086750D">
        <w:rPr>
          <w:sz w:val="20"/>
          <w:szCs w:val="20"/>
          <w:lang w:val="hu-HU"/>
        </w:rPr>
        <w:t xml:space="preserve"> 3000</w:t>
      </w:r>
      <w:r w:rsidR="0086750D">
        <w:rPr>
          <w:sz w:val="20"/>
          <w:szCs w:val="20"/>
          <w:lang w:val="hu-HU"/>
        </w:rPr>
        <w:t xml:space="preserve"> </w:t>
      </w:r>
      <w:r w:rsidR="00ED7E1A">
        <w:rPr>
          <w:sz w:val="20"/>
          <w:szCs w:val="20"/>
          <w:lang w:val="hu-HU"/>
        </w:rPr>
        <w:t>€ kedvezményre jogosult a HUPX</w:t>
      </w:r>
      <w:r w:rsidR="0086750D" w:rsidRPr="0086750D">
        <w:rPr>
          <w:sz w:val="20"/>
          <w:szCs w:val="20"/>
          <w:lang w:val="hu-HU"/>
        </w:rPr>
        <w:t xml:space="preserve"> éves díjból.</w:t>
      </w:r>
      <w:r w:rsidR="002E78D3">
        <w:rPr>
          <w:sz w:val="20"/>
          <w:szCs w:val="20"/>
          <w:lang w:val="hu-HU"/>
        </w:rPr>
        <w:t xml:space="preserve"> </w:t>
      </w:r>
      <w:r w:rsidR="0086750D" w:rsidRPr="0086750D">
        <w:rPr>
          <w:sz w:val="20"/>
          <w:szCs w:val="20"/>
          <w:lang w:val="hu-HU"/>
        </w:rPr>
        <w:t xml:space="preserve">Amennyiben a HUPX tag tagsággal rendelkezik a </w:t>
      </w:r>
      <w:proofErr w:type="spellStart"/>
      <w:r w:rsidR="0086750D" w:rsidRPr="0086750D">
        <w:rPr>
          <w:sz w:val="20"/>
          <w:szCs w:val="20"/>
          <w:lang w:val="hu-HU"/>
        </w:rPr>
        <w:t>HUDEX-en</w:t>
      </w:r>
      <w:proofErr w:type="spellEnd"/>
      <w:r w:rsidR="0086750D" w:rsidRPr="0086750D">
        <w:rPr>
          <w:sz w:val="20"/>
          <w:szCs w:val="20"/>
          <w:lang w:val="hu-HU"/>
        </w:rPr>
        <w:t xml:space="preserve"> és egyúttal a </w:t>
      </w:r>
      <w:proofErr w:type="spellStart"/>
      <w:r w:rsidR="0086750D" w:rsidRPr="0086750D">
        <w:rPr>
          <w:sz w:val="20"/>
          <w:szCs w:val="20"/>
          <w:lang w:val="hu-HU"/>
        </w:rPr>
        <w:t>CEEGEX-en</w:t>
      </w:r>
      <w:proofErr w:type="spellEnd"/>
      <w:r w:rsidR="0086750D" w:rsidRPr="0086750D">
        <w:rPr>
          <w:sz w:val="20"/>
          <w:szCs w:val="20"/>
          <w:lang w:val="hu-HU"/>
        </w:rPr>
        <w:t xml:space="preserve"> is 150</w:t>
      </w:r>
      <w:r w:rsidR="00ED7E1A">
        <w:rPr>
          <w:sz w:val="20"/>
          <w:szCs w:val="20"/>
          <w:lang w:val="hu-HU"/>
        </w:rPr>
        <w:t>0 € kedvezményre jogosult a HUPX</w:t>
      </w:r>
      <w:r w:rsidR="0086750D" w:rsidRPr="0086750D">
        <w:rPr>
          <w:sz w:val="20"/>
          <w:szCs w:val="20"/>
          <w:lang w:val="hu-HU"/>
        </w:rPr>
        <w:t xml:space="preserve"> éves díjból. A </w:t>
      </w:r>
      <w:proofErr w:type="spellStart"/>
      <w:r w:rsidR="0086750D" w:rsidRPr="0086750D">
        <w:rPr>
          <w:sz w:val="20"/>
          <w:szCs w:val="20"/>
          <w:lang w:val="hu-HU"/>
        </w:rPr>
        <w:t>CEEGEX-en</w:t>
      </w:r>
      <w:proofErr w:type="spellEnd"/>
      <w:r w:rsidR="0086750D" w:rsidRPr="0086750D">
        <w:rPr>
          <w:sz w:val="20"/>
          <w:szCs w:val="20"/>
          <w:lang w:val="hu-HU"/>
        </w:rPr>
        <w:t xml:space="preserve"> nyújtott további kedvezmények a CEEGEX piaci hirdetményben találhatók.</w:t>
      </w:r>
    </w:p>
    <w:p w:rsidR="0086750D" w:rsidRPr="0086750D" w:rsidRDefault="0086750D" w:rsidP="0086750D">
      <w:pPr>
        <w:rPr>
          <w:i/>
          <w:sz w:val="20"/>
          <w:szCs w:val="20"/>
          <w:lang w:val="hu-HU"/>
        </w:rPr>
      </w:pPr>
      <w:proofErr w:type="spellStart"/>
      <w:r w:rsidRPr="0086750D">
        <w:rPr>
          <w:i/>
          <w:sz w:val="20"/>
          <w:szCs w:val="20"/>
          <w:lang w:val="hu-HU"/>
        </w:rPr>
        <w:t>If</w:t>
      </w:r>
      <w:proofErr w:type="spellEnd"/>
      <w:r w:rsidRPr="0086750D">
        <w:rPr>
          <w:i/>
          <w:sz w:val="20"/>
          <w:szCs w:val="20"/>
          <w:lang w:val="hu-HU"/>
        </w:rPr>
        <w:t xml:space="preserve"> </w:t>
      </w:r>
      <w:proofErr w:type="spellStart"/>
      <w:r w:rsidRPr="0086750D">
        <w:rPr>
          <w:i/>
          <w:sz w:val="20"/>
          <w:szCs w:val="20"/>
          <w:lang w:val="hu-HU"/>
        </w:rPr>
        <w:t>the</w:t>
      </w:r>
      <w:proofErr w:type="spellEnd"/>
      <w:r w:rsidRPr="0086750D">
        <w:rPr>
          <w:i/>
          <w:sz w:val="20"/>
          <w:szCs w:val="20"/>
          <w:lang w:val="hu-HU"/>
        </w:rPr>
        <w:t xml:space="preserve"> HUPX </w:t>
      </w:r>
      <w:proofErr w:type="spellStart"/>
      <w:r w:rsidRPr="0086750D">
        <w:rPr>
          <w:i/>
          <w:sz w:val="20"/>
          <w:szCs w:val="20"/>
          <w:lang w:val="hu-HU"/>
        </w:rPr>
        <w:t>member</w:t>
      </w:r>
      <w:proofErr w:type="spellEnd"/>
      <w:r w:rsidRPr="0086750D">
        <w:rPr>
          <w:i/>
          <w:sz w:val="20"/>
          <w:szCs w:val="20"/>
          <w:lang w:val="hu-HU"/>
        </w:rPr>
        <w:t xml:space="preserve"> is </w:t>
      </w:r>
      <w:proofErr w:type="spellStart"/>
      <w:r w:rsidRPr="0086750D">
        <w:rPr>
          <w:i/>
          <w:sz w:val="20"/>
          <w:szCs w:val="20"/>
          <w:lang w:val="hu-HU"/>
        </w:rPr>
        <w:t>admitted</w:t>
      </w:r>
      <w:proofErr w:type="spellEnd"/>
      <w:r w:rsidRPr="0086750D">
        <w:rPr>
          <w:i/>
          <w:sz w:val="20"/>
          <w:szCs w:val="20"/>
          <w:lang w:val="hu-HU"/>
        </w:rPr>
        <w:t xml:space="preserve"> </w:t>
      </w:r>
      <w:proofErr w:type="spellStart"/>
      <w:r w:rsidRPr="0086750D">
        <w:rPr>
          <w:i/>
          <w:sz w:val="20"/>
          <w:szCs w:val="20"/>
          <w:lang w:val="hu-HU"/>
        </w:rPr>
        <w:t>to</w:t>
      </w:r>
      <w:proofErr w:type="spellEnd"/>
      <w:r w:rsidRPr="0086750D">
        <w:rPr>
          <w:i/>
          <w:sz w:val="20"/>
          <w:szCs w:val="20"/>
          <w:lang w:val="hu-HU"/>
        </w:rPr>
        <w:t xml:space="preserve"> HUDEX and </w:t>
      </w:r>
      <w:proofErr w:type="spellStart"/>
      <w:r w:rsidRPr="0086750D">
        <w:rPr>
          <w:i/>
          <w:sz w:val="20"/>
          <w:szCs w:val="20"/>
          <w:lang w:val="hu-HU"/>
        </w:rPr>
        <w:t>not</w:t>
      </w:r>
      <w:proofErr w:type="spellEnd"/>
      <w:r w:rsidRPr="0086750D">
        <w:rPr>
          <w:i/>
          <w:sz w:val="20"/>
          <w:szCs w:val="20"/>
          <w:lang w:val="hu-HU"/>
        </w:rPr>
        <w:t xml:space="preserve"> </w:t>
      </w:r>
      <w:proofErr w:type="spellStart"/>
      <w:r w:rsidRPr="0086750D">
        <w:rPr>
          <w:i/>
          <w:sz w:val="20"/>
          <w:szCs w:val="20"/>
          <w:lang w:val="hu-HU"/>
        </w:rPr>
        <w:t>admitted</w:t>
      </w:r>
      <w:proofErr w:type="spellEnd"/>
      <w:r w:rsidRPr="0086750D">
        <w:rPr>
          <w:i/>
          <w:sz w:val="20"/>
          <w:szCs w:val="20"/>
          <w:lang w:val="hu-HU"/>
        </w:rPr>
        <w:t xml:space="preserve"> </w:t>
      </w:r>
      <w:proofErr w:type="spellStart"/>
      <w:r w:rsidRPr="0086750D">
        <w:rPr>
          <w:i/>
          <w:sz w:val="20"/>
          <w:szCs w:val="20"/>
          <w:lang w:val="hu-HU"/>
        </w:rPr>
        <w:t>to</w:t>
      </w:r>
      <w:proofErr w:type="spellEnd"/>
      <w:r w:rsidRPr="0086750D">
        <w:rPr>
          <w:i/>
          <w:sz w:val="20"/>
          <w:szCs w:val="20"/>
          <w:lang w:val="hu-HU"/>
        </w:rPr>
        <w:t xml:space="preserve"> CEEGEX, 3000 € </w:t>
      </w:r>
      <w:proofErr w:type="spellStart"/>
      <w:r w:rsidRPr="0086750D">
        <w:rPr>
          <w:i/>
          <w:sz w:val="20"/>
          <w:szCs w:val="20"/>
          <w:lang w:val="hu-HU"/>
        </w:rPr>
        <w:t>discount</w:t>
      </w:r>
      <w:proofErr w:type="spellEnd"/>
      <w:r w:rsidRPr="0086750D">
        <w:rPr>
          <w:i/>
          <w:sz w:val="20"/>
          <w:szCs w:val="20"/>
          <w:lang w:val="hu-HU"/>
        </w:rPr>
        <w:t xml:space="preserve"> is </w:t>
      </w:r>
      <w:proofErr w:type="spellStart"/>
      <w:r w:rsidRPr="0086750D">
        <w:rPr>
          <w:i/>
          <w:sz w:val="20"/>
          <w:szCs w:val="20"/>
          <w:lang w:val="hu-HU"/>
        </w:rPr>
        <w:t>applied</w:t>
      </w:r>
      <w:proofErr w:type="spellEnd"/>
      <w:r w:rsidRPr="0086750D">
        <w:rPr>
          <w:i/>
          <w:sz w:val="20"/>
          <w:szCs w:val="20"/>
          <w:lang w:val="hu-HU"/>
        </w:rPr>
        <w:t xml:space="preserve"> </w:t>
      </w:r>
      <w:proofErr w:type="spellStart"/>
      <w:r w:rsidRPr="0086750D">
        <w:rPr>
          <w:i/>
          <w:sz w:val="20"/>
          <w:szCs w:val="20"/>
          <w:lang w:val="hu-HU"/>
        </w:rPr>
        <w:t>to</w:t>
      </w:r>
      <w:proofErr w:type="spellEnd"/>
      <w:r w:rsidRPr="0086750D">
        <w:rPr>
          <w:i/>
          <w:sz w:val="20"/>
          <w:szCs w:val="20"/>
          <w:lang w:val="hu-HU"/>
        </w:rPr>
        <w:t xml:space="preserve"> HUPX </w:t>
      </w:r>
      <w:proofErr w:type="spellStart"/>
      <w:r w:rsidRPr="0086750D">
        <w:rPr>
          <w:i/>
          <w:sz w:val="20"/>
          <w:szCs w:val="20"/>
          <w:lang w:val="hu-HU"/>
        </w:rPr>
        <w:t>annual</w:t>
      </w:r>
      <w:proofErr w:type="spellEnd"/>
      <w:r w:rsidRPr="0086750D">
        <w:rPr>
          <w:i/>
          <w:sz w:val="20"/>
          <w:szCs w:val="20"/>
          <w:lang w:val="hu-HU"/>
        </w:rPr>
        <w:t xml:space="preserve"> </w:t>
      </w:r>
      <w:proofErr w:type="spellStart"/>
      <w:r w:rsidRPr="0086750D">
        <w:rPr>
          <w:i/>
          <w:sz w:val="20"/>
          <w:szCs w:val="20"/>
          <w:lang w:val="hu-HU"/>
        </w:rPr>
        <w:t>fee</w:t>
      </w:r>
      <w:proofErr w:type="spellEnd"/>
      <w:r w:rsidRPr="0086750D">
        <w:rPr>
          <w:i/>
          <w:sz w:val="20"/>
          <w:szCs w:val="20"/>
          <w:lang w:val="hu-HU"/>
        </w:rPr>
        <w:t xml:space="preserve">. </w:t>
      </w:r>
      <w:proofErr w:type="spellStart"/>
      <w:r w:rsidRPr="0086750D">
        <w:rPr>
          <w:i/>
          <w:sz w:val="20"/>
          <w:szCs w:val="20"/>
          <w:lang w:val="hu-HU"/>
        </w:rPr>
        <w:t>If</w:t>
      </w:r>
      <w:proofErr w:type="spellEnd"/>
      <w:r w:rsidRPr="0086750D">
        <w:rPr>
          <w:i/>
          <w:sz w:val="20"/>
          <w:szCs w:val="20"/>
          <w:lang w:val="hu-HU"/>
        </w:rPr>
        <w:t xml:space="preserve"> </w:t>
      </w:r>
      <w:proofErr w:type="spellStart"/>
      <w:r w:rsidRPr="0086750D">
        <w:rPr>
          <w:i/>
          <w:sz w:val="20"/>
          <w:szCs w:val="20"/>
          <w:lang w:val="hu-HU"/>
        </w:rPr>
        <w:t>the</w:t>
      </w:r>
      <w:proofErr w:type="spellEnd"/>
      <w:r w:rsidRPr="0086750D">
        <w:rPr>
          <w:i/>
          <w:sz w:val="20"/>
          <w:szCs w:val="20"/>
          <w:lang w:val="hu-HU"/>
        </w:rPr>
        <w:t xml:space="preserve"> HUPX </w:t>
      </w:r>
      <w:proofErr w:type="spellStart"/>
      <w:r w:rsidRPr="0086750D">
        <w:rPr>
          <w:i/>
          <w:sz w:val="20"/>
          <w:szCs w:val="20"/>
          <w:lang w:val="hu-HU"/>
        </w:rPr>
        <w:t>member</w:t>
      </w:r>
      <w:proofErr w:type="spellEnd"/>
      <w:r w:rsidRPr="0086750D">
        <w:rPr>
          <w:i/>
          <w:sz w:val="20"/>
          <w:szCs w:val="20"/>
          <w:lang w:val="hu-HU"/>
        </w:rPr>
        <w:t xml:space="preserve"> is </w:t>
      </w:r>
      <w:proofErr w:type="spellStart"/>
      <w:r w:rsidRPr="0086750D">
        <w:rPr>
          <w:i/>
          <w:sz w:val="20"/>
          <w:szCs w:val="20"/>
          <w:lang w:val="hu-HU"/>
        </w:rPr>
        <w:t>admitted</w:t>
      </w:r>
      <w:proofErr w:type="spellEnd"/>
      <w:r w:rsidRPr="0086750D">
        <w:rPr>
          <w:i/>
          <w:sz w:val="20"/>
          <w:szCs w:val="20"/>
          <w:lang w:val="hu-HU"/>
        </w:rPr>
        <w:t xml:space="preserve"> </w:t>
      </w:r>
      <w:proofErr w:type="spellStart"/>
      <w:r w:rsidRPr="0086750D">
        <w:rPr>
          <w:i/>
          <w:sz w:val="20"/>
          <w:szCs w:val="20"/>
          <w:lang w:val="hu-HU"/>
        </w:rPr>
        <w:t>both</w:t>
      </w:r>
      <w:proofErr w:type="spellEnd"/>
      <w:r w:rsidRPr="0086750D">
        <w:rPr>
          <w:i/>
          <w:sz w:val="20"/>
          <w:szCs w:val="20"/>
          <w:lang w:val="hu-HU"/>
        </w:rPr>
        <w:t xml:space="preserve"> </w:t>
      </w:r>
      <w:proofErr w:type="spellStart"/>
      <w:r w:rsidRPr="0086750D">
        <w:rPr>
          <w:i/>
          <w:sz w:val="20"/>
          <w:szCs w:val="20"/>
          <w:lang w:val="hu-HU"/>
        </w:rPr>
        <w:t>to</w:t>
      </w:r>
      <w:proofErr w:type="spellEnd"/>
      <w:r w:rsidRPr="0086750D">
        <w:rPr>
          <w:i/>
          <w:sz w:val="20"/>
          <w:szCs w:val="20"/>
          <w:lang w:val="hu-HU"/>
        </w:rPr>
        <w:t xml:space="preserve"> HUDEX and CEEGEX, 1500 € </w:t>
      </w:r>
      <w:proofErr w:type="spellStart"/>
      <w:r w:rsidRPr="0086750D">
        <w:rPr>
          <w:i/>
          <w:sz w:val="20"/>
          <w:szCs w:val="20"/>
          <w:lang w:val="hu-HU"/>
        </w:rPr>
        <w:t>discount</w:t>
      </w:r>
      <w:proofErr w:type="spellEnd"/>
      <w:r w:rsidRPr="0086750D">
        <w:rPr>
          <w:i/>
          <w:sz w:val="20"/>
          <w:szCs w:val="20"/>
          <w:lang w:val="hu-HU"/>
        </w:rPr>
        <w:t xml:space="preserve"> is </w:t>
      </w:r>
      <w:proofErr w:type="spellStart"/>
      <w:r w:rsidRPr="0086750D">
        <w:rPr>
          <w:i/>
          <w:sz w:val="20"/>
          <w:szCs w:val="20"/>
          <w:lang w:val="hu-HU"/>
        </w:rPr>
        <w:t>applied</w:t>
      </w:r>
      <w:proofErr w:type="spellEnd"/>
      <w:r w:rsidRPr="0086750D">
        <w:rPr>
          <w:i/>
          <w:sz w:val="20"/>
          <w:szCs w:val="20"/>
          <w:lang w:val="hu-HU"/>
        </w:rPr>
        <w:t xml:space="preserve"> </w:t>
      </w:r>
      <w:proofErr w:type="spellStart"/>
      <w:r w:rsidRPr="0086750D">
        <w:rPr>
          <w:i/>
          <w:sz w:val="20"/>
          <w:szCs w:val="20"/>
          <w:lang w:val="hu-HU"/>
        </w:rPr>
        <w:t>to</w:t>
      </w:r>
      <w:proofErr w:type="spellEnd"/>
      <w:r w:rsidRPr="0086750D">
        <w:rPr>
          <w:i/>
          <w:sz w:val="20"/>
          <w:szCs w:val="20"/>
          <w:lang w:val="hu-HU"/>
        </w:rPr>
        <w:t xml:space="preserve"> HUPX </w:t>
      </w:r>
      <w:proofErr w:type="spellStart"/>
      <w:r w:rsidRPr="0086750D">
        <w:rPr>
          <w:i/>
          <w:sz w:val="20"/>
          <w:szCs w:val="20"/>
          <w:lang w:val="hu-HU"/>
        </w:rPr>
        <w:t>annual</w:t>
      </w:r>
      <w:proofErr w:type="spellEnd"/>
      <w:r w:rsidRPr="0086750D">
        <w:rPr>
          <w:i/>
          <w:sz w:val="20"/>
          <w:szCs w:val="20"/>
          <w:lang w:val="hu-HU"/>
        </w:rPr>
        <w:t xml:space="preserve"> </w:t>
      </w:r>
      <w:proofErr w:type="spellStart"/>
      <w:r w:rsidRPr="0086750D">
        <w:rPr>
          <w:i/>
          <w:sz w:val="20"/>
          <w:szCs w:val="20"/>
          <w:lang w:val="hu-HU"/>
        </w:rPr>
        <w:t>fee</w:t>
      </w:r>
      <w:proofErr w:type="spellEnd"/>
      <w:r w:rsidRPr="0086750D">
        <w:rPr>
          <w:i/>
          <w:sz w:val="20"/>
          <w:szCs w:val="20"/>
          <w:lang w:val="hu-HU"/>
        </w:rPr>
        <w:t xml:space="preserve">. </w:t>
      </w:r>
      <w:proofErr w:type="spellStart"/>
      <w:r w:rsidRPr="0086750D">
        <w:rPr>
          <w:i/>
          <w:sz w:val="20"/>
          <w:szCs w:val="20"/>
          <w:lang w:val="hu-HU"/>
        </w:rPr>
        <w:t>For</w:t>
      </w:r>
      <w:proofErr w:type="spellEnd"/>
      <w:r w:rsidRPr="0086750D">
        <w:rPr>
          <w:i/>
          <w:sz w:val="20"/>
          <w:szCs w:val="20"/>
          <w:lang w:val="hu-HU"/>
        </w:rPr>
        <w:t xml:space="preserve"> </w:t>
      </w:r>
      <w:proofErr w:type="spellStart"/>
      <w:r w:rsidRPr="0086750D">
        <w:rPr>
          <w:i/>
          <w:sz w:val="20"/>
          <w:szCs w:val="20"/>
          <w:lang w:val="hu-HU"/>
        </w:rPr>
        <w:t>further</w:t>
      </w:r>
      <w:proofErr w:type="spellEnd"/>
      <w:r w:rsidRPr="0086750D">
        <w:rPr>
          <w:i/>
          <w:sz w:val="20"/>
          <w:szCs w:val="20"/>
          <w:lang w:val="hu-HU"/>
        </w:rPr>
        <w:t xml:space="preserve"> </w:t>
      </w:r>
      <w:proofErr w:type="spellStart"/>
      <w:r w:rsidRPr="0086750D">
        <w:rPr>
          <w:i/>
          <w:sz w:val="20"/>
          <w:szCs w:val="20"/>
          <w:lang w:val="hu-HU"/>
        </w:rPr>
        <w:t>discounts</w:t>
      </w:r>
      <w:proofErr w:type="spellEnd"/>
      <w:r w:rsidRPr="0086750D">
        <w:rPr>
          <w:i/>
          <w:sz w:val="20"/>
          <w:szCs w:val="20"/>
          <w:lang w:val="hu-HU"/>
        </w:rPr>
        <w:t xml:space="preserve"> </w:t>
      </w:r>
      <w:proofErr w:type="spellStart"/>
      <w:r w:rsidRPr="0086750D">
        <w:rPr>
          <w:i/>
          <w:sz w:val="20"/>
          <w:szCs w:val="20"/>
          <w:lang w:val="hu-HU"/>
        </w:rPr>
        <w:t>on</w:t>
      </w:r>
      <w:proofErr w:type="spellEnd"/>
      <w:r w:rsidRPr="0086750D">
        <w:rPr>
          <w:i/>
          <w:sz w:val="20"/>
          <w:szCs w:val="20"/>
          <w:lang w:val="hu-HU"/>
        </w:rPr>
        <w:t xml:space="preserve"> CEEGEX </w:t>
      </w:r>
      <w:proofErr w:type="spellStart"/>
      <w:r w:rsidRPr="0086750D">
        <w:rPr>
          <w:i/>
          <w:sz w:val="20"/>
          <w:szCs w:val="20"/>
          <w:lang w:val="hu-HU"/>
        </w:rPr>
        <w:t>please</w:t>
      </w:r>
      <w:proofErr w:type="spellEnd"/>
      <w:r w:rsidRPr="0086750D">
        <w:rPr>
          <w:i/>
          <w:sz w:val="20"/>
          <w:szCs w:val="20"/>
          <w:lang w:val="hu-HU"/>
        </w:rPr>
        <w:t xml:space="preserve"> </w:t>
      </w:r>
      <w:proofErr w:type="spellStart"/>
      <w:r w:rsidRPr="0086750D">
        <w:rPr>
          <w:i/>
          <w:sz w:val="20"/>
          <w:szCs w:val="20"/>
          <w:lang w:val="hu-HU"/>
        </w:rPr>
        <w:t>refer</w:t>
      </w:r>
      <w:proofErr w:type="spellEnd"/>
      <w:r w:rsidRPr="0086750D">
        <w:rPr>
          <w:i/>
          <w:sz w:val="20"/>
          <w:szCs w:val="20"/>
          <w:lang w:val="hu-HU"/>
        </w:rPr>
        <w:t xml:space="preserve"> </w:t>
      </w:r>
      <w:proofErr w:type="spellStart"/>
      <w:r w:rsidRPr="0086750D">
        <w:rPr>
          <w:i/>
          <w:sz w:val="20"/>
          <w:szCs w:val="20"/>
          <w:lang w:val="hu-HU"/>
        </w:rPr>
        <w:t>to</w:t>
      </w:r>
      <w:proofErr w:type="spellEnd"/>
      <w:r w:rsidRPr="0086750D">
        <w:rPr>
          <w:i/>
          <w:sz w:val="20"/>
          <w:szCs w:val="20"/>
          <w:lang w:val="hu-HU"/>
        </w:rPr>
        <w:t xml:space="preserve"> </w:t>
      </w:r>
      <w:proofErr w:type="spellStart"/>
      <w:r w:rsidRPr="0086750D">
        <w:rPr>
          <w:i/>
          <w:sz w:val="20"/>
          <w:szCs w:val="20"/>
          <w:lang w:val="hu-HU"/>
        </w:rPr>
        <w:t>the</w:t>
      </w:r>
      <w:proofErr w:type="spellEnd"/>
      <w:r w:rsidRPr="0086750D">
        <w:rPr>
          <w:i/>
          <w:sz w:val="20"/>
          <w:szCs w:val="20"/>
          <w:lang w:val="hu-HU"/>
        </w:rPr>
        <w:t xml:space="preserve"> Market </w:t>
      </w:r>
      <w:proofErr w:type="spellStart"/>
      <w:r w:rsidRPr="0086750D">
        <w:rPr>
          <w:i/>
          <w:sz w:val="20"/>
          <w:szCs w:val="20"/>
          <w:lang w:val="hu-HU"/>
        </w:rPr>
        <w:t>Notice</w:t>
      </w:r>
      <w:proofErr w:type="spellEnd"/>
      <w:r w:rsidRPr="0086750D">
        <w:rPr>
          <w:i/>
          <w:sz w:val="20"/>
          <w:szCs w:val="20"/>
          <w:lang w:val="hu-HU"/>
        </w:rPr>
        <w:t xml:space="preserve"> </w:t>
      </w:r>
      <w:proofErr w:type="spellStart"/>
      <w:r w:rsidRPr="0086750D">
        <w:rPr>
          <w:i/>
          <w:sz w:val="20"/>
          <w:szCs w:val="20"/>
          <w:lang w:val="hu-HU"/>
        </w:rPr>
        <w:t>issued</w:t>
      </w:r>
      <w:proofErr w:type="spellEnd"/>
      <w:r w:rsidRPr="0086750D">
        <w:rPr>
          <w:i/>
          <w:sz w:val="20"/>
          <w:szCs w:val="20"/>
          <w:lang w:val="hu-HU"/>
        </w:rPr>
        <w:t xml:space="preserve"> </w:t>
      </w:r>
      <w:proofErr w:type="spellStart"/>
      <w:r w:rsidRPr="0086750D">
        <w:rPr>
          <w:i/>
          <w:sz w:val="20"/>
          <w:szCs w:val="20"/>
          <w:lang w:val="hu-HU"/>
        </w:rPr>
        <w:t>by</w:t>
      </w:r>
      <w:proofErr w:type="spellEnd"/>
      <w:r w:rsidRPr="0086750D">
        <w:rPr>
          <w:i/>
          <w:sz w:val="20"/>
          <w:szCs w:val="20"/>
          <w:lang w:val="hu-HU"/>
        </w:rPr>
        <w:t xml:space="preserve"> CEEGEX. </w:t>
      </w:r>
    </w:p>
    <w:p w:rsidR="002903CC" w:rsidRPr="002E24E0" w:rsidRDefault="002903CC" w:rsidP="002903CC">
      <w:pPr>
        <w:spacing w:before="0" w:line="240" w:lineRule="auto"/>
      </w:pPr>
    </w:p>
    <w:p w:rsidR="000C3036" w:rsidRPr="002903CC" w:rsidRDefault="000C3036" w:rsidP="002903CC">
      <w:pPr>
        <w:spacing w:before="0" w:line="240" w:lineRule="auto"/>
        <w:rPr>
          <w:i/>
          <w:sz w:val="20"/>
        </w:rPr>
      </w:pPr>
      <w:r w:rsidRPr="000C5810">
        <w:rPr>
          <w:sz w:val="20"/>
          <w:lang w:val="hu-HU"/>
        </w:rPr>
        <w:t>*</w:t>
      </w:r>
      <w:r w:rsidR="002903CC">
        <w:rPr>
          <w:sz w:val="20"/>
          <w:lang w:val="hu-HU"/>
        </w:rPr>
        <w:t>*</w:t>
      </w:r>
      <w:r w:rsidRPr="000C5810">
        <w:rPr>
          <w:sz w:val="20"/>
          <w:lang w:val="hu-HU"/>
        </w:rPr>
        <w:t xml:space="preserve">Az EPEX Kereskedési Rendszerhez való standard hozzáférés két </w:t>
      </w:r>
      <w:r w:rsidR="00DB6896" w:rsidRPr="000C5810">
        <w:rPr>
          <w:sz w:val="20"/>
          <w:lang w:val="hu-HU"/>
        </w:rPr>
        <w:t xml:space="preserve">(2) </w:t>
      </w:r>
      <w:r w:rsidRPr="000C5810">
        <w:rPr>
          <w:sz w:val="20"/>
          <w:lang w:val="hu-HU"/>
        </w:rPr>
        <w:t xml:space="preserve">felhasználót és két </w:t>
      </w:r>
      <w:r w:rsidR="00DB6896" w:rsidRPr="000C5810">
        <w:rPr>
          <w:sz w:val="20"/>
          <w:lang w:val="hu-HU"/>
        </w:rPr>
        <w:t xml:space="preserve">(2) </w:t>
      </w:r>
      <w:r w:rsidRPr="000C5810">
        <w:rPr>
          <w:sz w:val="20"/>
          <w:lang w:val="hu-HU"/>
        </w:rPr>
        <w:t>portfóliót foglal magában.</w:t>
      </w:r>
    </w:p>
    <w:p w:rsidR="00AD7D4A" w:rsidRDefault="00927F49" w:rsidP="002903CC">
      <w:pPr>
        <w:rPr>
          <w:i/>
          <w:sz w:val="20"/>
        </w:rPr>
      </w:pPr>
      <w:r w:rsidRPr="00A673A7">
        <w:rPr>
          <w:i/>
          <w:sz w:val="20"/>
        </w:rPr>
        <w:t>*</w:t>
      </w:r>
      <w:r w:rsidR="002903CC">
        <w:rPr>
          <w:i/>
          <w:sz w:val="20"/>
        </w:rPr>
        <w:t>*</w:t>
      </w:r>
      <w:r w:rsidRPr="00A673A7">
        <w:rPr>
          <w:i/>
          <w:sz w:val="20"/>
        </w:rPr>
        <w:t xml:space="preserve">EPEX Trading System standard access is provided with two </w:t>
      </w:r>
      <w:r w:rsidR="00DB6896" w:rsidRPr="00A673A7">
        <w:rPr>
          <w:i/>
          <w:sz w:val="20"/>
        </w:rPr>
        <w:t xml:space="preserve">(2) </w:t>
      </w:r>
      <w:r w:rsidRPr="00A673A7">
        <w:rPr>
          <w:i/>
          <w:sz w:val="20"/>
        </w:rPr>
        <w:t xml:space="preserve">users and two </w:t>
      </w:r>
      <w:r w:rsidR="00DB6896" w:rsidRPr="00A673A7">
        <w:rPr>
          <w:i/>
          <w:sz w:val="20"/>
        </w:rPr>
        <w:t xml:space="preserve">(2) </w:t>
      </w:r>
      <w:r w:rsidRPr="00A673A7">
        <w:rPr>
          <w:i/>
          <w:sz w:val="20"/>
        </w:rPr>
        <w:t>portfolios.</w:t>
      </w:r>
    </w:p>
    <w:p w:rsidR="00BF31FA" w:rsidRDefault="00BF31FA" w:rsidP="002903CC">
      <w:pPr>
        <w:spacing w:before="0" w:line="240" w:lineRule="auto"/>
        <w:rPr>
          <w:i/>
          <w:sz w:val="20"/>
        </w:rPr>
      </w:pPr>
    </w:p>
    <w:p w:rsidR="00CD7EFF" w:rsidRDefault="00CD7EFF" w:rsidP="00AD7D4A">
      <w:pPr>
        <w:rPr>
          <w:i/>
          <w:sz w:val="20"/>
        </w:rPr>
      </w:pPr>
    </w:p>
    <w:p w:rsidR="002903CC" w:rsidRDefault="002903CC" w:rsidP="00AD7D4A">
      <w:pPr>
        <w:rPr>
          <w:i/>
          <w:sz w:val="20"/>
        </w:rPr>
      </w:pPr>
    </w:p>
    <w:p w:rsidR="002903CC" w:rsidRDefault="002903CC" w:rsidP="00AD7D4A">
      <w:pPr>
        <w:rPr>
          <w:i/>
          <w:sz w:val="20"/>
        </w:rPr>
      </w:pPr>
    </w:p>
    <w:p w:rsidR="002903CC" w:rsidRPr="00A673A7" w:rsidRDefault="002903CC" w:rsidP="00AD7D4A">
      <w:pPr>
        <w:rPr>
          <w:i/>
          <w:sz w:val="20"/>
        </w:rPr>
      </w:pPr>
    </w:p>
    <w:p w:rsidR="00805EF3" w:rsidRPr="00EB6FE9" w:rsidRDefault="005A4DBB" w:rsidP="00405741">
      <w:pPr>
        <w:pStyle w:val="Cmsor2"/>
      </w:pPr>
      <w:r>
        <w:lastRenderedPageBreak/>
        <w:t xml:space="preserve">HUPX </w:t>
      </w:r>
      <w:r w:rsidRPr="007C2DBC">
        <w:rPr>
          <w:lang w:val="hu-HU"/>
        </w:rPr>
        <w:t>t</w:t>
      </w:r>
      <w:r w:rsidR="00405741" w:rsidRPr="007C2DBC">
        <w:rPr>
          <w:lang w:val="hu-HU"/>
        </w:rPr>
        <w:t>ranzakciós díj</w:t>
      </w:r>
      <w:r w:rsidR="00405741">
        <w:t xml:space="preserve"> / </w:t>
      </w:r>
      <w:r w:rsidR="00805EF3" w:rsidRPr="00EB6FE9">
        <w:rPr>
          <w:i/>
        </w:rPr>
        <w:t>HUPX transaction fee</w:t>
      </w:r>
    </w:p>
    <w:p w:rsidR="00405741" w:rsidRDefault="00405741" w:rsidP="002E5AB2">
      <w:r w:rsidRPr="000C5810">
        <w:rPr>
          <w:lang w:val="hu-HU"/>
        </w:rPr>
        <w:t>Az alábbi táblázat tartalmazz</w:t>
      </w:r>
      <w:r w:rsidR="004C78D8">
        <w:rPr>
          <w:lang w:val="hu-HU"/>
        </w:rPr>
        <w:t>a</w:t>
      </w:r>
      <w:r w:rsidRPr="000C5810">
        <w:rPr>
          <w:lang w:val="hu-HU"/>
        </w:rPr>
        <w:t xml:space="preserve"> a tranzakciós díjat a HUPX </w:t>
      </w:r>
      <w:r w:rsidR="007C2DBC">
        <w:rPr>
          <w:lang w:val="hu-HU"/>
        </w:rPr>
        <w:t>DAM</w:t>
      </w:r>
      <w:r w:rsidRPr="000C5810">
        <w:rPr>
          <w:lang w:val="hu-HU"/>
        </w:rPr>
        <w:t xml:space="preserve"> Másnapi Aukciós </w:t>
      </w:r>
      <w:r w:rsidR="00A673A7" w:rsidRPr="000C5810">
        <w:rPr>
          <w:lang w:val="hu-HU"/>
        </w:rPr>
        <w:t>piacá</w:t>
      </w:r>
      <w:r w:rsidRPr="000C5810">
        <w:rPr>
          <w:lang w:val="hu-HU"/>
        </w:rPr>
        <w:t>ra</w:t>
      </w:r>
      <w:r w:rsidR="004C78D8">
        <w:rPr>
          <w:lang w:val="hu-HU"/>
        </w:rPr>
        <w:t>,</w:t>
      </w:r>
      <w:r w:rsidRPr="000C5810">
        <w:rPr>
          <w:lang w:val="hu-HU"/>
        </w:rPr>
        <w:t xml:space="preserve"> a HUPX hatályos Piaci Szabályzatával összhangban</w:t>
      </w:r>
      <w:r>
        <w:t>:</w:t>
      </w:r>
    </w:p>
    <w:p w:rsidR="00CD7EFF" w:rsidRPr="00405741" w:rsidRDefault="002E5AB2" w:rsidP="002E5AB2">
      <w:pPr>
        <w:rPr>
          <w:i/>
        </w:rPr>
      </w:pPr>
      <w:r w:rsidRPr="00405741">
        <w:rPr>
          <w:i/>
        </w:rPr>
        <w:t>The following table in</w:t>
      </w:r>
      <w:r w:rsidR="004C78D8">
        <w:rPr>
          <w:i/>
        </w:rPr>
        <w:t>cludes</w:t>
      </w:r>
      <w:r w:rsidRPr="00405741">
        <w:rPr>
          <w:i/>
        </w:rPr>
        <w:t xml:space="preserve"> the transaction fee</w:t>
      </w:r>
      <w:r w:rsidR="00405741">
        <w:rPr>
          <w:i/>
        </w:rPr>
        <w:t xml:space="preserve"> </w:t>
      </w:r>
      <w:r w:rsidRPr="00405741">
        <w:rPr>
          <w:i/>
        </w:rPr>
        <w:t xml:space="preserve">of the HUPX </w:t>
      </w:r>
      <w:r w:rsidR="007C2DBC">
        <w:rPr>
          <w:i/>
        </w:rPr>
        <w:t>DAM</w:t>
      </w:r>
      <w:r w:rsidRPr="00405741">
        <w:rPr>
          <w:i/>
        </w:rPr>
        <w:t xml:space="preserve"> Day-Ahead </w:t>
      </w:r>
      <w:r w:rsidR="00A673A7">
        <w:rPr>
          <w:i/>
        </w:rPr>
        <w:t>market</w:t>
      </w:r>
      <w:r w:rsidRPr="00405741">
        <w:rPr>
          <w:i/>
        </w:rPr>
        <w:t xml:space="preserve"> in line with the Market Rules:</w:t>
      </w:r>
      <w:r w:rsidR="00CD7EFF">
        <w:rPr>
          <w:i/>
        </w:rPr>
        <w:t xml:space="preserve"> </w:t>
      </w:r>
    </w:p>
    <w:p w:rsidR="00AD1B1C" w:rsidRDefault="00AD1B1C" w:rsidP="00805EF3"/>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7933"/>
        <w:gridCol w:w="1843"/>
      </w:tblGrid>
      <w:tr w:rsidR="001B6EF8" w:rsidRPr="00663A12" w:rsidTr="00EF1D9C">
        <w:trPr>
          <w:jc w:val="center"/>
        </w:trPr>
        <w:tc>
          <w:tcPr>
            <w:tcW w:w="9776" w:type="dxa"/>
            <w:gridSpan w:val="2"/>
            <w:tcBorders>
              <w:top w:val="single" w:sz="4" w:space="0" w:color="auto"/>
              <w:left w:val="single" w:sz="4" w:space="0" w:color="auto"/>
              <w:bottom w:val="single" w:sz="4" w:space="0" w:color="auto"/>
              <w:right w:val="single" w:sz="4" w:space="0" w:color="auto"/>
            </w:tcBorders>
            <w:shd w:val="clear" w:color="auto" w:fill="00A0AF"/>
            <w:vAlign w:val="center"/>
          </w:tcPr>
          <w:p w:rsidR="00EF1D9C" w:rsidRDefault="001B6EF8" w:rsidP="007C2DBC">
            <w:pPr>
              <w:pStyle w:val="StlusNormlbalraFlkvr1httrKiskapitlis"/>
            </w:pPr>
            <w:r w:rsidRPr="00875B6E">
              <w:t>HUPX</w:t>
            </w:r>
            <w:r w:rsidR="005D334B">
              <w:t xml:space="preserve"> </w:t>
            </w:r>
            <w:r w:rsidR="007C2DBC">
              <w:rPr>
                <w:lang w:val="hu-HU"/>
              </w:rPr>
              <w:t>DAM</w:t>
            </w:r>
            <w:r w:rsidR="005D334B" w:rsidRPr="000C5810">
              <w:rPr>
                <w:lang w:val="hu-HU"/>
              </w:rPr>
              <w:t xml:space="preserve"> Másnapi Aukciós Tranzakciós </w:t>
            </w:r>
            <w:r w:rsidR="004C78D8">
              <w:rPr>
                <w:lang w:val="hu-HU"/>
              </w:rPr>
              <w:t>Díj</w:t>
            </w:r>
            <w:r w:rsidRPr="00875B6E">
              <w:t xml:space="preserve"> </w:t>
            </w:r>
            <w:r w:rsidR="005D334B">
              <w:t xml:space="preserve">/ </w:t>
            </w:r>
          </w:p>
          <w:p w:rsidR="001B6EF8" w:rsidRPr="00875B6E" w:rsidRDefault="001B6EF8" w:rsidP="007C2DBC">
            <w:pPr>
              <w:pStyle w:val="StlusNormlbalraFlkvr1httrKiskapitlis"/>
            </w:pPr>
            <w:r w:rsidRPr="005D334B">
              <w:rPr>
                <w:i/>
              </w:rPr>
              <w:t>Transaction Fee for HUPX Day-Ahead Market</w:t>
            </w:r>
            <w:r>
              <w:t xml:space="preserve"> </w:t>
            </w:r>
          </w:p>
        </w:tc>
      </w:tr>
      <w:tr w:rsidR="001B6EF8" w:rsidRPr="00663A12" w:rsidTr="00EF1D9C">
        <w:trPr>
          <w:jc w:val="center"/>
        </w:trPr>
        <w:tc>
          <w:tcPr>
            <w:tcW w:w="7933" w:type="dxa"/>
            <w:tcBorders>
              <w:top w:val="single" w:sz="4" w:space="0" w:color="auto"/>
              <w:left w:val="single" w:sz="4" w:space="0" w:color="auto"/>
              <w:bottom w:val="single" w:sz="4" w:space="0" w:color="auto"/>
              <w:right w:val="single" w:sz="4" w:space="0" w:color="auto"/>
            </w:tcBorders>
          </w:tcPr>
          <w:p w:rsidR="001B6EF8" w:rsidRPr="007C2DBC" w:rsidRDefault="005D334B" w:rsidP="005D334B">
            <w:pPr>
              <w:pStyle w:val="Normlbalra"/>
            </w:pPr>
            <w:r w:rsidRPr="007C2DBC">
              <w:rPr>
                <w:lang w:val="hu-HU"/>
              </w:rPr>
              <w:t>Általános tranzakciós díj</w:t>
            </w:r>
            <w:r w:rsidRPr="007C2DBC">
              <w:t xml:space="preserve"> / </w:t>
            </w:r>
            <w:r w:rsidRPr="007C2DBC">
              <w:br/>
            </w:r>
            <w:r w:rsidR="001B6EF8" w:rsidRPr="007C2DBC">
              <w:rPr>
                <w:i/>
              </w:rPr>
              <w:t xml:space="preserve">Standard transaction fee </w:t>
            </w:r>
            <w:r w:rsidRPr="007C2DBC">
              <w:rPr>
                <w:i/>
              </w:rPr>
              <w:t>(</w:t>
            </w:r>
            <w:r w:rsidR="001B6EF8" w:rsidRPr="007C2DBC">
              <w:rPr>
                <w:i/>
              </w:rPr>
              <w:t xml:space="preserve">HUPX </w:t>
            </w:r>
            <w:r w:rsidR="007C2DBC">
              <w:rPr>
                <w:i/>
              </w:rPr>
              <w:t>DAM</w:t>
            </w:r>
            <w:r w:rsidRPr="007C2DBC">
              <w:rPr>
                <w:i/>
              </w:rPr>
              <w:t>)</w:t>
            </w:r>
          </w:p>
        </w:tc>
        <w:tc>
          <w:tcPr>
            <w:tcW w:w="1843" w:type="dxa"/>
            <w:tcBorders>
              <w:top w:val="single" w:sz="4" w:space="0" w:color="auto"/>
              <w:left w:val="single" w:sz="4" w:space="0" w:color="auto"/>
              <w:bottom w:val="single" w:sz="4" w:space="0" w:color="auto"/>
              <w:right w:val="single" w:sz="4" w:space="0" w:color="auto"/>
            </w:tcBorders>
            <w:vAlign w:val="center"/>
          </w:tcPr>
          <w:p w:rsidR="001B6EF8" w:rsidRPr="007C2DBC" w:rsidRDefault="003D2C53" w:rsidP="007C2DBC">
            <w:pPr>
              <w:pStyle w:val="Normlbalra"/>
            </w:pPr>
            <w:r w:rsidRPr="007C2DBC">
              <w:t>0.0</w:t>
            </w:r>
            <w:r w:rsidR="007C2DBC" w:rsidRPr="007C2DBC">
              <w:t>5</w:t>
            </w:r>
            <w:r w:rsidR="001B6EF8" w:rsidRPr="007C2DBC">
              <w:t xml:space="preserve"> € / MWh</w:t>
            </w:r>
          </w:p>
        </w:tc>
      </w:tr>
      <w:tr w:rsidR="003D2C53" w:rsidRPr="003D2ACC" w:rsidTr="00EF1D9C">
        <w:trPr>
          <w:jc w:val="center"/>
        </w:trPr>
        <w:tc>
          <w:tcPr>
            <w:tcW w:w="7933" w:type="dxa"/>
            <w:tcBorders>
              <w:top w:val="single" w:sz="4" w:space="0" w:color="auto"/>
              <w:left w:val="single" w:sz="4" w:space="0" w:color="auto"/>
              <w:bottom w:val="single" w:sz="4" w:space="0" w:color="auto"/>
              <w:right w:val="single" w:sz="4" w:space="0" w:color="auto"/>
            </w:tcBorders>
          </w:tcPr>
          <w:p w:rsidR="003D2C53" w:rsidRPr="00BF31FA" w:rsidRDefault="003D2ACC" w:rsidP="005D334B">
            <w:pPr>
              <w:pStyle w:val="Normlbalra"/>
            </w:pPr>
            <w:proofErr w:type="spellStart"/>
            <w:r w:rsidRPr="00BF31FA">
              <w:rPr>
                <w:lang w:val="hu-HU"/>
              </w:rPr>
              <w:t>Shipping</w:t>
            </w:r>
            <w:proofErr w:type="spellEnd"/>
            <w:r w:rsidRPr="00BF31FA">
              <w:rPr>
                <w:lang w:val="hu-HU"/>
              </w:rPr>
              <w:t xml:space="preserve"> tarifa a</w:t>
            </w:r>
            <w:r w:rsidR="000C5810" w:rsidRPr="00BF31FA">
              <w:rPr>
                <w:lang w:val="hu-HU"/>
              </w:rPr>
              <w:t>z implicit résztvevőre allokált</w:t>
            </w:r>
            <w:r w:rsidR="00230F20" w:rsidRPr="00BF31FA">
              <w:rPr>
                <w:lang w:val="hu-HU"/>
              </w:rPr>
              <w:t xml:space="preserve"> volumen</w:t>
            </w:r>
            <w:r w:rsidRPr="00BF31FA">
              <w:rPr>
                <w:lang w:val="hu-HU"/>
              </w:rPr>
              <w:t xml:space="preserve">re vonatkozóan </w:t>
            </w:r>
            <w:r w:rsidR="003D2C53" w:rsidRPr="00BF31FA">
              <w:t>/</w:t>
            </w:r>
          </w:p>
          <w:p w:rsidR="003D2C53" w:rsidRPr="00BF31FA" w:rsidRDefault="003D2ACC" w:rsidP="003D2ACC">
            <w:pPr>
              <w:pStyle w:val="Normlbalra"/>
              <w:rPr>
                <w:i/>
              </w:rPr>
            </w:pPr>
            <w:r w:rsidRPr="00BF31FA">
              <w:rPr>
                <w:i/>
              </w:rPr>
              <w:t>Shipping tariff on the</w:t>
            </w:r>
            <w:r w:rsidR="00230F20" w:rsidRPr="00BF31FA">
              <w:rPr>
                <w:i/>
              </w:rPr>
              <w:t xml:space="preserve"> volume </w:t>
            </w:r>
            <w:r w:rsidR="000C5810" w:rsidRPr="00BF31FA">
              <w:rPr>
                <w:i/>
              </w:rPr>
              <w:t>allocated to</w:t>
            </w:r>
            <w:r w:rsidR="003D2C53" w:rsidRPr="00BF31FA">
              <w:rPr>
                <w:i/>
              </w:rPr>
              <w:t xml:space="preserve"> implicit participant</w:t>
            </w:r>
            <w:r w:rsidR="00230F20" w:rsidRPr="00BF31FA">
              <w:rPr>
                <w:i/>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3D2C53" w:rsidRPr="00BF31FA" w:rsidRDefault="00773742" w:rsidP="003D2C53">
            <w:pPr>
              <w:pStyle w:val="Normlbalra"/>
            </w:pPr>
            <w:r w:rsidRPr="00BF31FA">
              <w:t>0.07</w:t>
            </w:r>
            <w:r w:rsidR="003D2ACC" w:rsidRPr="00BF31FA">
              <w:t xml:space="preserve"> € / MWh</w:t>
            </w:r>
          </w:p>
        </w:tc>
      </w:tr>
      <w:tr w:rsidR="00CD7EFF" w:rsidRPr="003D2ACC" w:rsidTr="00EF1D9C">
        <w:trPr>
          <w:jc w:val="center"/>
        </w:trPr>
        <w:tc>
          <w:tcPr>
            <w:tcW w:w="7933" w:type="dxa"/>
            <w:tcBorders>
              <w:top w:val="single" w:sz="4" w:space="0" w:color="auto"/>
              <w:left w:val="single" w:sz="4" w:space="0" w:color="auto"/>
              <w:bottom w:val="single" w:sz="4" w:space="0" w:color="auto"/>
              <w:right w:val="single" w:sz="4" w:space="0" w:color="auto"/>
            </w:tcBorders>
          </w:tcPr>
          <w:p w:rsidR="00CD7EFF" w:rsidRPr="00BF31FA" w:rsidRDefault="00CD7EFF" w:rsidP="00CD7EFF">
            <w:pPr>
              <w:pStyle w:val="Normlbalra"/>
              <w:rPr>
                <w:lang w:val="hu-HU"/>
              </w:rPr>
            </w:pPr>
            <w:r w:rsidRPr="00BF31FA">
              <w:rPr>
                <w:lang w:val="hu-HU"/>
              </w:rPr>
              <w:t xml:space="preserve">Tranzakciós díj </w:t>
            </w:r>
            <w:r w:rsidR="00907235" w:rsidRPr="00BF31FA">
              <w:rPr>
                <w:lang w:val="hu-HU"/>
              </w:rPr>
              <w:t>HUDEX fizikai szállításra</w:t>
            </w:r>
            <w:r w:rsidRPr="00BF31FA">
              <w:rPr>
                <w:lang w:val="hu-HU"/>
              </w:rPr>
              <w:t xml:space="preserve"> / </w:t>
            </w:r>
            <w:r w:rsidRPr="00BF31FA">
              <w:br/>
            </w:r>
            <w:r w:rsidRPr="00BF31FA">
              <w:rPr>
                <w:i/>
              </w:rPr>
              <w:t>Transaction fee for</w:t>
            </w:r>
            <w:r w:rsidR="00907235" w:rsidRPr="00BF31FA">
              <w:rPr>
                <w:i/>
              </w:rPr>
              <w:t xml:space="preserve"> HUDEX physical delivery</w:t>
            </w:r>
            <w:r w:rsidR="0086750D">
              <w:rPr>
                <w:i/>
              </w:rPr>
              <w:t xml:space="preserve"> </w:t>
            </w:r>
            <w:r w:rsidRPr="00BF31FA">
              <w:rPr>
                <w:i/>
              </w:rPr>
              <w:t>(HUPX DAM)</w:t>
            </w:r>
          </w:p>
        </w:tc>
        <w:tc>
          <w:tcPr>
            <w:tcW w:w="1843" w:type="dxa"/>
            <w:tcBorders>
              <w:top w:val="single" w:sz="4" w:space="0" w:color="auto"/>
              <w:left w:val="single" w:sz="4" w:space="0" w:color="auto"/>
              <w:bottom w:val="single" w:sz="4" w:space="0" w:color="auto"/>
              <w:right w:val="single" w:sz="4" w:space="0" w:color="auto"/>
            </w:tcBorders>
            <w:vAlign w:val="center"/>
          </w:tcPr>
          <w:p w:rsidR="00CD7EFF" w:rsidRPr="00BF31FA" w:rsidRDefault="00CD7EFF" w:rsidP="003D2C53">
            <w:pPr>
              <w:pStyle w:val="Normlbalra"/>
            </w:pPr>
            <w:r w:rsidRPr="00BF31FA">
              <w:t>0.02 € / MWh</w:t>
            </w:r>
          </w:p>
        </w:tc>
      </w:tr>
    </w:tbl>
    <w:p w:rsidR="002E5AB2" w:rsidRDefault="002E5AB2" w:rsidP="009D1CC9"/>
    <w:p w:rsidR="009A3452" w:rsidRPr="00EB6FE9" w:rsidRDefault="000C5810" w:rsidP="009A3452">
      <w:pPr>
        <w:pStyle w:val="Cmsor2"/>
        <w:numPr>
          <w:ilvl w:val="1"/>
          <w:numId w:val="11"/>
        </w:numPr>
      </w:pPr>
      <w:r w:rsidRPr="007C2DBC">
        <w:rPr>
          <w:lang w:val="hu-HU"/>
        </w:rPr>
        <w:t>Egyéb díj</w:t>
      </w:r>
      <w:r w:rsidR="009A3452" w:rsidRPr="007C2DBC">
        <w:rPr>
          <w:lang w:val="hu-HU"/>
        </w:rPr>
        <w:t>kedvezmények</w:t>
      </w:r>
      <w:r w:rsidR="009A3452">
        <w:t xml:space="preserve"> / </w:t>
      </w:r>
      <w:r>
        <w:rPr>
          <w:i/>
        </w:rPr>
        <w:t>Other</w:t>
      </w:r>
      <w:r w:rsidR="009A3452" w:rsidRPr="00EB6FE9">
        <w:rPr>
          <w:i/>
        </w:rPr>
        <w:t xml:space="preserve"> </w:t>
      </w:r>
      <w:r w:rsidR="00E54E55">
        <w:rPr>
          <w:i/>
        </w:rPr>
        <w:t>discounts</w:t>
      </w:r>
    </w:p>
    <w:p w:rsidR="009A3452" w:rsidRPr="006E6C2F" w:rsidRDefault="009A3452" w:rsidP="009A3452">
      <w:pPr>
        <w:rPr>
          <w:lang w:val="hu-HU"/>
        </w:rPr>
      </w:pPr>
      <w:r w:rsidRPr="006E6C2F">
        <w:rPr>
          <w:lang w:val="hu-HU"/>
        </w:rPr>
        <w:t>A HUPX az alábbi kedvezmény</w:t>
      </w:r>
      <w:r w:rsidR="004C78D8">
        <w:rPr>
          <w:lang w:val="hu-HU"/>
        </w:rPr>
        <w:t>ek</w:t>
      </w:r>
      <w:r w:rsidRPr="006E6C2F">
        <w:rPr>
          <w:lang w:val="hu-HU"/>
        </w:rPr>
        <w:t xml:space="preserve">re ad lehetőséget a </w:t>
      </w:r>
      <w:r w:rsidR="00F9049B">
        <w:rPr>
          <w:lang w:val="hu-HU"/>
        </w:rPr>
        <w:t>Másnapi Aukciós</w:t>
      </w:r>
      <w:r w:rsidRPr="006E6C2F">
        <w:rPr>
          <w:lang w:val="hu-HU"/>
        </w:rPr>
        <w:t xml:space="preserve"> (</w:t>
      </w:r>
      <w:r w:rsidR="007C2DBC">
        <w:rPr>
          <w:lang w:val="hu-HU"/>
        </w:rPr>
        <w:t>DAM</w:t>
      </w:r>
      <w:r w:rsidR="00F9049B">
        <w:rPr>
          <w:lang w:val="hu-HU"/>
        </w:rPr>
        <w:t>) piacon</w:t>
      </w:r>
      <w:r w:rsidRPr="006E6C2F">
        <w:rPr>
          <w:lang w:val="hu-HU"/>
        </w:rPr>
        <w:t>:</w:t>
      </w:r>
    </w:p>
    <w:p w:rsidR="009A3452" w:rsidRDefault="009A3452" w:rsidP="009A3452">
      <w:pPr>
        <w:pStyle w:val="Listaszerbekezds"/>
        <w:rPr>
          <w:lang w:val="hu-HU"/>
        </w:rPr>
      </w:pPr>
      <w:proofErr w:type="spellStart"/>
      <w:r w:rsidRPr="006E6C2F">
        <w:rPr>
          <w:lang w:val="hu-HU"/>
        </w:rPr>
        <w:t>Liquidity</w:t>
      </w:r>
      <w:proofErr w:type="spellEnd"/>
      <w:r w:rsidRPr="006E6C2F">
        <w:rPr>
          <w:lang w:val="hu-HU"/>
        </w:rPr>
        <w:t xml:space="preserve"> </w:t>
      </w:r>
      <w:proofErr w:type="spellStart"/>
      <w:r w:rsidR="00F9049B">
        <w:rPr>
          <w:lang w:val="hu-HU"/>
        </w:rPr>
        <w:t>Supporter</w:t>
      </w:r>
      <w:proofErr w:type="spellEnd"/>
      <w:r w:rsidRPr="006E6C2F">
        <w:rPr>
          <w:lang w:val="hu-HU"/>
        </w:rPr>
        <w:t xml:space="preserve"> kedvezmény</w:t>
      </w:r>
    </w:p>
    <w:p w:rsidR="009A3452" w:rsidRDefault="009A3452" w:rsidP="009A3452">
      <w:pPr>
        <w:rPr>
          <w:i/>
        </w:rPr>
      </w:pPr>
      <w:r>
        <w:rPr>
          <w:i/>
        </w:rPr>
        <w:t xml:space="preserve">HUPX provides </w:t>
      </w:r>
      <w:r w:rsidR="00F9049B">
        <w:rPr>
          <w:i/>
        </w:rPr>
        <w:t>the following</w:t>
      </w:r>
      <w:r>
        <w:rPr>
          <w:i/>
        </w:rPr>
        <w:t xml:space="preserve"> discount</w:t>
      </w:r>
      <w:r w:rsidR="004C78D8">
        <w:rPr>
          <w:i/>
        </w:rPr>
        <w:t>s</w:t>
      </w:r>
      <w:r>
        <w:rPr>
          <w:i/>
        </w:rPr>
        <w:t xml:space="preserve"> on the HUPX </w:t>
      </w:r>
      <w:r w:rsidR="00F9049B">
        <w:rPr>
          <w:i/>
        </w:rPr>
        <w:t>Day-Ahead</w:t>
      </w:r>
      <w:r>
        <w:rPr>
          <w:i/>
        </w:rPr>
        <w:t xml:space="preserve"> </w:t>
      </w:r>
      <w:r w:rsidR="00F9049B">
        <w:rPr>
          <w:i/>
        </w:rPr>
        <w:t>(</w:t>
      </w:r>
      <w:r w:rsidR="007C2DBC">
        <w:rPr>
          <w:i/>
        </w:rPr>
        <w:t>DAM</w:t>
      </w:r>
      <w:r w:rsidR="00F9049B">
        <w:rPr>
          <w:i/>
        </w:rPr>
        <w:t>) market</w:t>
      </w:r>
      <w:r>
        <w:rPr>
          <w:i/>
        </w:rPr>
        <w:t>:</w:t>
      </w:r>
    </w:p>
    <w:p w:rsidR="009A3452" w:rsidRDefault="009A3452" w:rsidP="009A3452">
      <w:pPr>
        <w:pStyle w:val="Listaszerbekezds"/>
        <w:rPr>
          <w:i/>
          <w:iCs/>
        </w:rPr>
      </w:pPr>
      <w:r w:rsidRPr="005C0C93">
        <w:rPr>
          <w:i/>
          <w:iCs/>
        </w:rPr>
        <w:t xml:space="preserve">Liquidity </w:t>
      </w:r>
      <w:r w:rsidR="00C9085A">
        <w:rPr>
          <w:i/>
          <w:iCs/>
        </w:rPr>
        <w:t>Supporter</w:t>
      </w:r>
      <w:r w:rsidRPr="005C0C93">
        <w:rPr>
          <w:i/>
          <w:iCs/>
        </w:rPr>
        <w:t xml:space="preserve"> discount</w:t>
      </w:r>
    </w:p>
    <w:p w:rsidR="009A3452" w:rsidRDefault="009A3452" w:rsidP="009A3452">
      <w:pPr>
        <w:pStyle w:val="Kiemeltbarna"/>
      </w:pPr>
      <w:r>
        <w:t xml:space="preserve">Liquidity </w:t>
      </w:r>
      <w:r w:rsidR="00F9049B">
        <w:t xml:space="preserve">Supporter </w:t>
      </w:r>
      <w:r w:rsidR="0044018F" w:rsidRPr="007C2DBC">
        <w:rPr>
          <w:lang w:val="hu-HU"/>
        </w:rPr>
        <w:t>kedvezmény</w:t>
      </w:r>
      <w:r>
        <w:t xml:space="preserve"> / </w:t>
      </w:r>
      <w:r w:rsidRPr="0016776C">
        <w:rPr>
          <w:i/>
        </w:rPr>
        <w:t xml:space="preserve">Liquidity </w:t>
      </w:r>
      <w:r w:rsidR="00F9049B">
        <w:rPr>
          <w:i/>
        </w:rPr>
        <w:t xml:space="preserve">Supporter </w:t>
      </w:r>
      <w:r w:rsidRPr="0016776C">
        <w:rPr>
          <w:i/>
        </w:rPr>
        <w:t>discount</w:t>
      </w:r>
    </w:p>
    <w:p w:rsidR="009A3452" w:rsidRPr="006E6C2F" w:rsidRDefault="0021388E" w:rsidP="009A3452">
      <w:pPr>
        <w:rPr>
          <w:lang w:val="hu-HU"/>
        </w:rPr>
      </w:pPr>
      <w:r>
        <w:rPr>
          <w:lang w:val="hu-HU"/>
        </w:rPr>
        <w:t xml:space="preserve">Amennyiben egy HUPX Tag legalább egy (1) plusz portfoliót igényel, </w:t>
      </w:r>
      <w:r w:rsidR="009A3452" w:rsidRPr="006E6C2F">
        <w:rPr>
          <w:lang w:val="hu-HU"/>
        </w:rPr>
        <w:t xml:space="preserve">jogosult lehet a </w:t>
      </w:r>
      <w:proofErr w:type="spellStart"/>
      <w:r w:rsidR="009A3452" w:rsidRPr="006E6C2F">
        <w:rPr>
          <w:lang w:val="hu-HU"/>
        </w:rPr>
        <w:t>Liquidity</w:t>
      </w:r>
      <w:proofErr w:type="spellEnd"/>
      <w:r w:rsidR="009A3452" w:rsidRPr="006E6C2F">
        <w:rPr>
          <w:lang w:val="hu-HU"/>
        </w:rPr>
        <w:t xml:space="preserve"> </w:t>
      </w:r>
      <w:proofErr w:type="spellStart"/>
      <w:r w:rsidR="00F9049B">
        <w:rPr>
          <w:lang w:val="hu-HU"/>
        </w:rPr>
        <w:t>Supporter</w:t>
      </w:r>
      <w:proofErr w:type="spellEnd"/>
      <w:r w:rsidR="009A3452" w:rsidRPr="006E6C2F">
        <w:rPr>
          <w:lang w:val="hu-HU"/>
        </w:rPr>
        <w:t xml:space="preserve"> kedv</w:t>
      </w:r>
      <w:r>
        <w:rPr>
          <w:lang w:val="hu-HU"/>
        </w:rPr>
        <w:t>ezményre. Ehhez</w:t>
      </w:r>
      <w:r w:rsidR="0007358B">
        <w:rPr>
          <w:lang w:val="hu-HU"/>
        </w:rPr>
        <w:t xml:space="preserve"> a vonatkozó feltétel</w:t>
      </w:r>
      <w:r w:rsidR="009A3452" w:rsidRPr="006E6C2F">
        <w:rPr>
          <w:lang w:val="hu-HU"/>
        </w:rPr>
        <w:t>nek</w:t>
      </w:r>
      <w:r>
        <w:rPr>
          <w:lang w:val="hu-HU"/>
        </w:rPr>
        <w:t xml:space="preserve"> meg kell felelnie</w:t>
      </w:r>
      <w:r w:rsidR="009A3452" w:rsidRPr="006E6C2F">
        <w:rPr>
          <w:lang w:val="hu-HU"/>
        </w:rPr>
        <w:t>. Erre vonatkozólag nincs előzetes szerződéskötési kötelezettség.</w:t>
      </w:r>
    </w:p>
    <w:p w:rsidR="0007358B" w:rsidRDefault="0007358B" w:rsidP="0021388E">
      <w:pPr>
        <w:rPr>
          <w:lang w:val="hu-HU"/>
        </w:rPr>
      </w:pPr>
      <w:r>
        <w:rPr>
          <w:lang w:val="hu-HU"/>
        </w:rPr>
        <w:t>Amennyiben a</w:t>
      </w:r>
      <w:r w:rsidR="00077963">
        <w:rPr>
          <w:lang w:val="hu-HU"/>
        </w:rPr>
        <w:t xml:space="preserve"> rendszer használatához kapcsolódó díjak számlázásának esedékességét meg</w:t>
      </w:r>
      <w:r>
        <w:rPr>
          <w:lang w:val="hu-HU"/>
        </w:rPr>
        <w:t xml:space="preserve">előző negyedévben a HUPX Tag teljesítette az alábbi táblázatban meghatározott mennyiségi </w:t>
      </w:r>
      <w:r w:rsidR="00670161">
        <w:rPr>
          <w:lang w:val="hu-HU"/>
        </w:rPr>
        <w:t xml:space="preserve">feltételt </w:t>
      </w:r>
      <w:r>
        <w:rPr>
          <w:lang w:val="hu-HU"/>
        </w:rPr>
        <w:t>(vételi és eladási oldal abszolút értékű összegét tekintve),</w:t>
      </w:r>
      <w:r w:rsidR="00670161">
        <w:rPr>
          <w:lang w:val="hu-HU"/>
        </w:rPr>
        <w:t xml:space="preserve"> a következő számlázási időszakra (negyedévre) a HUPX az alábbiak szerint k</w:t>
      </w:r>
      <w:r>
        <w:rPr>
          <w:lang w:val="hu-HU"/>
        </w:rPr>
        <w:t xml:space="preserve">edvezményt </w:t>
      </w:r>
      <w:r w:rsidR="00670161">
        <w:rPr>
          <w:lang w:val="hu-HU"/>
        </w:rPr>
        <w:t xml:space="preserve">biztosít </w:t>
      </w:r>
      <w:r>
        <w:rPr>
          <w:lang w:val="hu-HU"/>
        </w:rPr>
        <w:t>a plusz portfóliók árából.</w:t>
      </w:r>
    </w:p>
    <w:p w:rsidR="00913142" w:rsidRDefault="00913142" w:rsidP="0021388E">
      <w:pPr>
        <w:rPr>
          <w:lang w:val="hu-HU"/>
        </w:rPr>
      </w:pPr>
      <w:r>
        <w:rPr>
          <w:lang w:val="hu-HU"/>
        </w:rPr>
        <w:t>Ezen kedvezmény a HUPX általi visszavonásig érvényes.</w:t>
      </w:r>
    </w:p>
    <w:p w:rsidR="009A3452" w:rsidRPr="00CC46C3" w:rsidRDefault="00BD29D7" w:rsidP="009A3452">
      <w:pPr>
        <w:rPr>
          <w:i/>
        </w:rPr>
      </w:pPr>
      <w:r>
        <w:rPr>
          <w:i/>
        </w:rPr>
        <w:t>If a</w:t>
      </w:r>
      <w:r w:rsidR="009A3452" w:rsidRPr="00CC46C3">
        <w:rPr>
          <w:i/>
        </w:rPr>
        <w:t xml:space="preserve"> HUPX Member </w:t>
      </w:r>
      <w:r>
        <w:rPr>
          <w:i/>
        </w:rPr>
        <w:t xml:space="preserve">orders at least one (1) additional portfolio, the Member </w:t>
      </w:r>
      <w:r w:rsidR="009A3452" w:rsidRPr="00CC46C3">
        <w:rPr>
          <w:i/>
        </w:rPr>
        <w:t>has the possibility to get discounts</w:t>
      </w:r>
      <w:r w:rsidR="00F9049B">
        <w:rPr>
          <w:i/>
        </w:rPr>
        <w:t xml:space="preserve"> after fulfilling the condition</w:t>
      </w:r>
      <w:r w:rsidR="009A3452" w:rsidRPr="00CC46C3">
        <w:rPr>
          <w:i/>
        </w:rPr>
        <w:t xml:space="preserve"> of a Liquidity</w:t>
      </w:r>
      <w:r>
        <w:rPr>
          <w:i/>
        </w:rPr>
        <w:t xml:space="preserve"> Supporter.</w:t>
      </w:r>
      <w:r w:rsidR="009A3452" w:rsidRPr="00CC46C3">
        <w:rPr>
          <w:i/>
        </w:rPr>
        <w:t xml:space="preserve"> </w:t>
      </w:r>
      <w:r>
        <w:rPr>
          <w:i/>
        </w:rPr>
        <w:t>F</w:t>
      </w:r>
      <w:r w:rsidR="009A3452">
        <w:rPr>
          <w:i/>
        </w:rPr>
        <w:t xml:space="preserve">or this purpose </w:t>
      </w:r>
      <w:r w:rsidR="009A3452" w:rsidRPr="00CC46C3">
        <w:rPr>
          <w:i/>
        </w:rPr>
        <w:t>no agreement shall be signed with HUPX.</w:t>
      </w:r>
    </w:p>
    <w:p w:rsidR="00913142" w:rsidRDefault="002B25C7" w:rsidP="009A3452">
      <w:pPr>
        <w:rPr>
          <w:i/>
        </w:rPr>
      </w:pPr>
      <w:r>
        <w:rPr>
          <w:i/>
        </w:rPr>
        <w:t>In case a HUPX Member meets the below volume conditions (sum of purchase and sale volumes in absolute value) in the quarter before the due date of the system related fee payment, the HUPX provides the below discount on the additionally requested portfolios for the following invoicing period (i.e. the next quarter).</w:t>
      </w:r>
    </w:p>
    <w:p w:rsidR="00CE38DC" w:rsidRDefault="00D850D6" w:rsidP="009A3452">
      <w:pPr>
        <w:rPr>
          <w:i/>
        </w:rPr>
      </w:pPr>
      <w:r w:rsidRPr="00D850D6">
        <w:rPr>
          <w:i/>
        </w:rPr>
        <w:t>This discount is valid until withdrawn by HUPX.</w:t>
      </w:r>
    </w:p>
    <w:p w:rsidR="009A3452" w:rsidRDefault="009A3452" w:rsidP="009A3452"/>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4860"/>
        <w:gridCol w:w="4860"/>
      </w:tblGrid>
      <w:tr w:rsidR="0021388E" w:rsidRPr="00663A12" w:rsidTr="0021388E">
        <w:trPr>
          <w:jc w:val="center"/>
        </w:trPr>
        <w:tc>
          <w:tcPr>
            <w:tcW w:w="9720" w:type="dxa"/>
            <w:gridSpan w:val="2"/>
            <w:tcBorders>
              <w:top w:val="single" w:sz="4" w:space="0" w:color="auto"/>
              <w:left w:val="single" w:sz="4" w:space="0" w:color="auto"/>
              <w:bottom w:val="single" w:sz="4" w:space="0" w:color="auto"/>
              <w:right w:val="single" w:sz="4" w:space="0" w:color="auto"/>
            </w:tcBorders>
            <w:shd w:val="clear" w:color="auto" w:fill="00A0AF"/>
            <w:vAlign w:val="center"/>
          </w:tcPr>
          <w:p w:rsidR="00EF1D9C" w:rsidRDefault="0021388E" w:rsidP="00A23CE8">
            <w:pPr>
              <w:pStyle w:val="StlusNormlbalraFlkvr1httrKiskapitlis"/>
            </w:pPr>
            <w:r w:rsidRPr="00875B6E">
              <w:t xml:space="preserve">HUPX </w:t>
            </w:r>
            <w:r w:rsidRPr="007C2DBC">
              <w:rPr>
                <w:lang w:val="hu-HU"/>
              </w:rPr>
              <w:t>Másnapi Aukciós</w:t>
            </w:r>
            <w:r>
              <w:t xml:space="preserve"> (</w:t>
            </w:r>
            <w:r w:rsidR="007C2DBC">
              <w:t>DAM</w:t>
            </w:r>
            <w:r>
              <w:t xml:space="preserve">) </w:t>
            </w:r>
            <w:proofErr w:type="spellStart"/>
            <w:r>
              <w:t>Piac</w:t>
            </w:r>
            <w:proofErr w:type="spellEnd"/>
            <w:r>
              <w:t xml:space="preserve"> Liquidity Supporter </w:t>
            </w:r>
            <w:r w:rsidRPr="007C2DBC">
              <w:rPr>
                <w:lang w:val="hu-HU"/>
              </w:rPr>
              <w:t>Feltételek</w:t>
            </w:r>
            <w:r>
              <w:t xml:space="preserve"> / </w:t>
            </w:r>
          </w:p>
          <w:p w:rsidR="0021388E" w:rsidRPr="00875B6E" w:rsidRDefault="0021388E" w:rsidP="00A23CE8">
            <w:pPr>
              <w:pStyle w:val="StlusNormlbalraFlkvr1httrKiskapitlis"/>
            </w:pPr>
            <w:r w:rsidRPr="00D36F85">
              <w:rPr>
                <w:i/>
              </w:rPr>
              <w:t xml:space="preserve">Liquidity </w:t>
            </w:r>
            <w:r w:rsidR="00A23CE8">
              <w:rPr>
                <w:i/>
              </w:rPr>
              <w:t>Supporter</w:t>
            </w:r>
            <w:r w:rsidRPr="00D36F85">
              <w:rPr>
                <w:i/>
              </w:rPr>
              <w:t xml:space="preserve"> </w:t>
            </w:r>
            <w:r>
              <w:rPr>
                <w:i/>
              </w:rPr>
              <w:t xml:space="preserve">Conditions </w:t>
            </w:r>
            <w:r w:rsidRPr="00D36F85">
              <w:rPr>
                <w:i/>
              </w:rPr>
              <w:t xml:space="preserve">for HUPX </w:t>
            </w:r>
            <w:r>
              <w:rPr>
                <w:i/>
              </w:rPr>
              <w:t>Day-Ahead (</w:t>
            </w:r>
            <w:r w:rsidR="007C2DBC">
              <w:rPr>
                <w:i/>
              </w:rPr>
              <w:t>DAM</w:t>
            </w:r>
            <w:r>
              <w:rPr>
                <w:i/>
              </w:rPr>
              <w:t>)</w:t>
            </w:r>
            <w:r w:rsidRPr="00D36F85">
              <w:rPr>
                <w:i/>
              </w:rPr>
              <w:t xml:space="preserve"> Market</w:t>
            </w:r>
          </w:p>
        </w:tc>
      </w:tr>
      <w:tr w:rsidR="0021388E" w:rsidRPr="00663A12" w:rsidTr="0021388E">
        <w:trPr>
          <w:jc w:val="center"/>
        </w:trPr>
        <w:tc>
          <w:tcPr>
            <w:tcW w:w="4860" w:type="dxa"/>
            <w:tcBorders>
              <w:top w:val="single" w:sz="4" w:space="0" w:color="auto"/>
              <w:left w:val="single" w:sz="4" w:space="0" w:color="auto"/>
              <w:bottom w:val="single" w:sz="4" w:space="0" w:color="auto"/>
              <w:right w:val="single" w:sz="4" w:space="0" w:color="auto"/>
            </w:tcBorders>
          </w:tcPr>
          <w:p w:rsidR="0021388E" w:rsidRPr="00C9085A" w:rsidRDefault="0021388E" w:rsidP="00937148">
            <w:pPr>
              <w:pStyle w:val="Normlbalra"/>
              <w:rPr>
                <w:i/>
              </w:rPr>
            </w:pPr>
            <w:r>
              <w:t xml:space="preserve">250 </w:t>
            </w:r>
            <w:proofErr w:type="spellStart"/>
            <w:r w:rsidRPr="007C2DBC">
              <w:rPr>
                <w:lang w:val="hu-HU"/>
              </w:rPr>
              <w:t>GWh</w:t>
            </w:r>
            <w:proofErr w:type="spellEnd"/>
            <w:r>
              <w:t xml:space="preserve"> </w:t>
            </w:r>
            <w:r w:rsidRPr="007C2DBC">
              <w:rPr>
                <w:lang w:val="hu-HU"/>
              </w:rPr>
              <w:t xml:space="preserve">fölötti kereskedett mennyiség </w:t>
            </w:r>
            <w:r w:rsidR="00937148" w:rsidRPr="007C2DBC">
              <w:rPr>
                <w:lang w:val="hu-HU"/>
              </w:rPr>
              <w:t>a megelőző negyedévben</w:t>
            </w:r>
            <w:r w:rsidR="00937148">
              <w:t xml:space="preserve"> </w:t>
            </w:r>
            <w:r>
              <w:t xml:space="preserve">/ </w:t>
            </w:r>
            <w:r>
              <w:br/>
            </w:r>
            <w:r w:rsidR="00C9085A">
              <w:rPr>
                <w:i/>
              </w:rPr>
              <w:br/>
            </w:r>
            <w:r>
              <w:rPr>
                <w:i/>
              </w:rPr>
              <w:t xml:space="preserve">Above 250 </w:t>
            </w:r>
            <w:proofErr w:type="spellStart"/>
            <w:r>
              <w:rPr>
                <w:i/>
              </w:rPr>
              <w:t>GWh</w:t>
            </w:r>
            <w:proofErr w:type="spellEnd"/>
            <w:r>
              <w:rPr>
                <w:i/>
              </w:rPr>
              <w:t xml:space="preserve"> traded volume </w:t>
            </w:r>
            <w:r w:rsidR="00937148">
              <w:rPr>
                <w:i/>
              </w:rPr>
              <w:t>in the previous</w:t>
            </w:r>
            <w:r>
              <w:rPr>
                <w:i/>
              </w:rPr>
              <w:t xml:space="preserve"> quarter</w:t>
            </w:r>
          </w:p>
        </w:tc>
        <w:tc>
          <w:tcPr>
            <w:tcW w:w="4860" w:type="dxa"/>
            <w:tcBorders>
              <w:top w:val="single" w:sz="4" w:space="0" w:color="auto"/>
              <w:left w:val="single" w:sz="4" w:space="0" w:color="auto"/>
              <w:bottom w:val="single" w:sz="4" w:space="0" w:color="auto"/>
              <w:right w:val="single" w:sz="4" w:space="0" w:color="auto"/>
            </w:tcBorders>
          </w:tcPr>
          <w:p w:rsidR="0021388E" w:rsidRPr="004E6472" w:rsidRDefault="00C9085A" w:rsidP="00913142">
            <w:pPr>
              <w:pStyle w:val="Normlbalra"/>
            </w:pPr>
            <w:r w:rsidRPr="007C2DBC">
              <w:rPr>
                <w:lang w:val="hu-HU"/>
              </w:rPr>
              <w:t xml:space="preserve">Legfeljebb két </w:t>
            </w:r>
            <w:r w:rsidR="0021388E" w:rsidRPr="007C2DBC">
              <w:rPr>
                <w:lang w:val="hu-HU"/>
              </w:rPr>
              <w:t>(</w:t>
            </w:r>
            <w:r w:rsidRPr="007C2DBC">
              <w:rPr>
                <w:lang w:val="hu-HU"/>
              </w:rPr>
              <w:t>2</w:t>
            </w:r>
            <w:r w:rsidR="0021388E" w:rsidRPr="007C2DBC">
              <w:rPr>
                <w:lang w:val="hu-HU"/>
              </w:rPr>
              <w:t xml:space="preserve">) pluszban </w:t>
            </w:r>
            <w:r w:rsidR="00913142" w:rsidRPr="007C2DBC">
              <w:rPr>
                <w:lang w:val="hu-HU"/>
              </w:rPr>
              <w:t>igényelt</w:t>
            </w:r>
            <w:r w:rsidR="0021388E" w:rsidRPr="007C2DBC">
              <w:rPr>
                <w:lang w:val="hu-HU"/>
              </w:rPr>
              <w:t xml:space="preserve"> portfolió</w:t>
            </w:r>
            <w:r w:rsidRPr="007C2DBC">
              <w:rPr>
                <w:lang w:val="hu-HU"/>
              </w:rPr>
              <w:t xml:space="preserve"> ingyen történő biztosítása a következő negyedévre</w:t>
            </w:r>
            <w:r>
              <w:t xml:space="preserve"> </w:t>
            </w:r>
            <w:r w:rsidR="0021388E">
              <w:t xml:space="preserve">/ </w:t>
            </w:r>
            <w:r w:rsidR="0021388E">
              <w:br/>
            </w:r>
            <w:r>
              <w:rPr>
                <w:i/>
              </w:rPr>
              <w:t xml:space="preserve">Providing </w:t>
            </w:r>
            <w:r w:rsidR="00284C4B">
              <w:rPr>
                <w:i/>
              </w:rPr>
              <w:t xml:space="preserve">of </w:t>
            </w:r>
            <w:r>
              <w:rPr>
                <w:i/>
              </w:rPr>
              <w:t>maximum two</w:t>
            </w:r>
            <w:r w:rsidR="00284C4B">
              <w:rPr>
                <w:i/>
              </w:rPr>
              <w:t xml:space="preserve"> (</w:t>
            </w:r>
            <w:r>
              <w:rPr>
                <w:i/>
              </w:rPr>
              <w:t>2</w:t>
            </w:r>
            <w:r w:rsidR="00284C4B">
              <w:rPr>
                <w:i/>
              </w:rPr>
              <w:t xml:space="preserve">) additionally </w:t>
            </w:r>
            <w:r w:rsidR="00913142">
              <w:rPr>
                <w:i/>
              </w:rPr>
              <w:t>requested</w:t>
            </w:r>
            <w:r w:rsidR="00284C4B">
              <w:rPr>
                <w:i/>
              </w:rPr>
              <w:t xml:space="preserve"> portfolio</w:t>
            </w:r>
            <w:r>
              <w:rPr>
                <w:i/>
              </w:rPr>
              <w:t xml:space="preserve"> free of charge for the following quarter</w:t>
            </w:r>
          </w:p>
        </w:tc>
      </w:tr>
    </w:tbl>
    <w:p w:rsidR="002903CC" w:rsidRDefault="002903CC" w:rsidP="002903CC">
      <w:pPr>
        <w:pStyle w:val="Kiemeltbarna"/>
      </w:pPr>
    </w:p>
    <w:p w:rsidR="00A931C5" w:rsidRPr="00A931C5" w:rsidRDefault="00E74274" w:rsidP="002903CC">
      <w:pPr>
        <w:pStyle w:val="Kiemeltbarna"/>
        <w:rPr>
          <w:i/>
        </w:rPr>
      </w:pPr>
      <w:r>
        <w:rPr>
          <w:lang w:val="hu-HU"/>
        </w:rPr>
        <w:t>Éves tagsági díj</w:t>
      </w:r>
      <w:r w:rsidR="002903CC" w:rsidRPr="007C2DBC">
        <w:rPr>
          <w:lang w:val="hu-HU"/>
        </w:rPr>
        <w:t>kedvezmény</w:t>
      </w:r>
      <w:r w:rsidR="002903CC">
        <w:t xml:space="preserve"> / </w:t>
      </w:r>
      <w:r>
        <w:rPr>
          <w:i/>
        </w:rPr>
        <w:t xml:space="preserve">Annual fee </w:t>
      </w:r>
      <w:r w:rsidR="002903CC" w:rsidRPr="0016776C">
        <w:rPr>
          <w:i/>
        </w:rPr>
        <w:t>discount</w:t>
      </w:r>
    </w:p>
    <w:p w:rsidR="00A931C5" w:rsidRPr="001529F0" w:rsidRDefault="00A931C5" w:rsidP="00A931C5">
      <w:pPr>
        <w:rPr>
          <w:lang w:val="hu-HU"/>
        </w:rPr>
      </w:pPr>
      <w:r w:rsidRPr="001529F0">
        <w:rPr>
          <w:lang w:val="hu-HU"/>
        </w:rPr>
        <w:t xml:space="preserve">Amennyiben a HUPX tag tagsággal rendelkezik a </w:t>
      </w:r>
      <w:proofErr w:type="spellStart"/>
      <w:r w:rsidRPr="001529F0">
        <w:rPr>
          <w:lang w:val="hu-HU"/>
        </w:rPr>
        <w:t>HUDEX-en</w:t>
      </w:r>
      <w:proofErr w:type="spellEnd"/>
      <w:r w:rsidRPr="001529F0">
        <w:rPr>
          <w:lang w:val="hu-HU"/>
        </w:rPr>
        <w:t xml:space="preserve">, de nem tag a </w:t>
      </w:r>
      <w:proofErr w:type="spellStart"/>
      <w:r w:rsidRPr="001529F0">
        <w:rPr>
          <w:lang w:val="hu-HU"/>
        </w:rPr>
        <w:t>CEEGEX-en</w:t>
      </w:r>
      <w:proofErr w:type="spellEnd"/>
      <w:r w:rsidRPr="001529F0">
        <w:rPr>
          <w:lang w:val="hu-HU"/>
        </w:rPr>
        <w:t xml:space="preserve"> 3</w:t>
      </w:r>
      <w:r w:rsidR="0086750D" w:rsidRPr="001529F0">
        <w:rPr>
          <w:lang w:val="hu-HU"/>
        </w:rPr>
        <w:t>000</w:t>
      </w:r>
      <w:r w:rsidR="00ED7E1A" w:rsidRPr="001529F0">
        <w:rPr>
          <w:lang w:val="hu-HU"/>
        </w:rPr>
        <w:t>€ kedvezményre jogosult a HUPX</w:t>
      </w:r>
      <w:r w:rsidRPr="001529F0">
        <w:rPr>
          <w:lang w:val="hu-HU"/>
        </w:rPr>
        <w:t xml:space="preserve"> éves díjból.</w:t>
      </w:r>
    </w:p>
    <w:p w:rsidR="0086750D" w:rsidRPr="001529F0" w:rsidRDefault="0086750D" w:rsidP="0086750D">
      <w:pPr>
        <w:rPr>
          <w:lang w:val="hu-HU"/>
        </w:rPr>
      </w:pPr>
      <w:r w:rsidRPr="001529F0">
        <w:rPr>
          <w:lang w:val="hu-HU"/>
        </w:rPr>
        <w:t xml:space="preserve">Amennyiben a HUPX tag tagsággal rendelkezik a </w:t>
      </w:r>
      <w:proofErr w:type="spellStart"/>
      <w:r w:rsidRPr="001529F0">
        <w:rPr>
          <w:lang w:val="hu-HU"/>
        </w:rPr>
        <w:t>HUDEX-en</w:t>
      </w:r>
      <w:proofErr w:type="spellEnd"/>
      <w:r w:rsidRPr="001529F0">
        <w:rPr>
          <w:lang w:val="hu-HU"/>
        </w:rPr>
        <w:t xml:space="preserve"> és egyúttal a </w:t>
      </w:r>
      <w:proofErr w:type="spellStart"/>
      <w:r w:rsidRPr="001529F0">
        <w:rPr>
          <w:lang w:val="hu-HU"/>
        </w:rPr>
        <w:t>CEEGEX-en</w:t>
      </w:r>
      <w:proofErr w:type="spellEnd"/>
      <w:r w:rsidRPr="001529F0">
        <w:rPr>
          <w:lang w:val="hu-HU"/>
        </w:rPr>
        <w:t xml:space="preserve"> is 150</w:t>
      </w:r>
      <w:r w:rsidR="00ED7E1A" w:rsidRPr="001529F0">
        <w:rPr>
          <w:lang w:val="hu-HU"/>
        </w:rPr>
        <w:t>0 € kedvezményre jogosult a HUPX</w:t>
      </w:r>
      <w:r w:rsidRPr="001529F0">
        <w:rPr>
          <w:lang w:val="hu-HU"/>
        </w:rPr>
        <w:t xml:space="preserve"> éves díjból. A </w:t>
      </w:r>
      <w:proofErr w:type="spellStart"/>
      <w:r w:rsidRPr="001529F0">
        <w:rPr>
          <w:lang w:val="hu-HU"/>
        </w:rPr>
        <w:t>CEEGEX-en</w:t>
      </w:r>
      <w:proofErr w:type="spellEnd"/>
      <w:r w:rsidRPr="001529F0">
        <w:rPr>
          <w:lang w:val="hu-HU"/>
        </w:rPr>
        <w:t xml:space="preserve"> nyújtott további kedvezmények a CEEGEX piaci </w:t>
      </w:r>
      <w:r w:rsidR="002E78D3" w:rsidRPr="001529F0">
        <w:rPr>
          <w:lang w:val="hu-HU"/>
        </w:rPr>
        <w:t>hirdetményben</w:t>
      </w:r>
      <w:r w:rsidRPr="001529F0">
        <w:rPr>
          <w:lang w:val="hu-HU"/>
        </w:rPr>
        <w:t xml:space="preserve"> találhatók.</w:t>
      </w:r>
    </w:p>
    <w:p w:rsidR="00E74274" w:rsidRPr="001529F0" w:rsidRDefault="00A931C5" w:rsidP="00A931C5">
      <w:pPr>
        <w:rPr>
          <w:i/>
          <w:lang w:val="en-GB"/>
        </w:rPr>
      </w:pPr>
      <w:r w:rsidRPr="001529F0">
        <w:rPr>
          <w:i/>
          <w:lang w:val="en-GB"/>
        </w:rPr>
        <w:t>If the HUPX member is admitted to HUDEX and not admitted to CEEGEX, 3000 € discount is applied to HUPX annual fee.</w:t>
      </w:r>
      <w:r w:rsidR="0086750D" w:rsidRPr="001529F0">
        <w:rPr>
          <w:i/>
          <w:lang w:val="en-GB"/>
        </w:rPr>
        <w:t xml:space="preserve"> </w:t>
      </w:r>
    </w:p>
    <w:p w:rsidR="00A931C5" w:rsidRPr="002E78D3" w:rsidRDefault="00A931C5" w:rsidP="00A931C5">
      <w:pPr>
        <w:rPr>
          <w:i/>
          <w:lang w:val="en-GB"/>
        </w:rPr>
      </w:pPr>
      <w:r w:rsidRPr="001529F0">
        <w:rPr>
          <w:i/>
          <w:lang w:val="en-GB"/>
        </w:rPr>
        <w:t xml:space="preserve">If the HUPX member is admitted both to HUDEX and CEEGEX, 1500 € discount is applied to HUPX annual fee. </w:t>
      </w:r>
      <w:r w:rsidR="0086750D" w:rsidRPr="001529F0">
        <w:rPr>
          <w:i/>
          <w:lang w:val="en-GB"/>
        </w:rPr>
        <w:t>For further discounts on CEEGEX please refer to the Market Notice issued by CEEGEX.</w:t>
      </w:r>
      <w:r w:rsidR="0086750D" w:rsidRPr="002E78D3">
        <w:rPr>
          <w:i/>
          <w:lang w:val="en-GB"/>
        </w:rPr>
        <w:t xml:space="preserve"> </w:t>
      </w:r>
    </w:p>
    <w:p w:rsidR="00CF0154" w:rsidRDefault="00CF0154" w:rsidP="00CF0154">
      <w:pPr>
        <w:pStyle w:val="Kiemeltbarna"/>
      </w:pPr>
    </w:p>
    <w:p w:rsidR="007937F4" w:rsidRPr="00EB6FE9" w:rsidRDefault="007937F4" w:rsidP="007937F4">
      <w:pPr>
        <w:pStyle w:val="Cmsor2"/>
        <w:numPr>
          <w:ilvl w:val="1"/>
          <w:numId w:val="11"/>
        </w:numPr>
      </w:pPr>
      <w:r w:rsidRPr="007C2DBC">
        <w:rPr>
          <w:lang w:val="hu-HU"/>
        </w:rPr>
        <w:t>Egyéb adminisztratív díjak</w:t>
      </w:r>
      <w:r>
        <w:t xml:space="preserve"> / </w:t>
      </w:r>
      <w:r>
        <w:rPr>
          <w:i/>
        </w:rPr>
        <w:t>Other administrative fees</w:t>
      </w:r>
    </w:p>
    <w:p w:rsidR="00FE4796" w:rsidRPr="004F2546" w:rsidRDefault="00FE4796" w:rsidP="00FE4796">
      <w:pPr>
        <w:pStyle w:val="Kiemeltbarna"/>
        <w:rPr>
          <w:i/>
        </w:rPr>
      </w:pPr>
      <w:r w:rsidRPr="007C2DBC">
        <w:rPr>
          <w:lang w:val="hu-HU"/>
        </w:rPr>
        <w:t>Ajánlat beadás és törlés igényének díja</w:t>
      </w:r>
      <w:r>
        <w:t xml:space="preserve"> / </w:t>
      </w:r>
      <w:r w:rsidRPr="004F2546">
        <w:rPr>
          <w:i/>
        </w:rPr>
        <w:t xml:space="preserve">Fees for </w:t>
      </w:r>
      <w:r>
        <w:rPr>
          <w:i/>
        </w:rPr>
        <w:t>order entry or cancellation</w:t>
      </w:r>
    </w:p>
    <w:p w:rsidR="00FE4796" w:rsidRPr="0005381D" w:rsidRDefault="00FE4796" w:rsidP="00FE4796">
      <w:r>
        <w:t xml:space="preserve">A </w:t>
      </w:r>
      <w:proofErr w:type="spellStart"/>
      <w:r>
        <w:t>Piaci</w:t>
      </w:r>
      <w:proofErr w:type="spellEnd"/>
      <w:r>
        <w:t xml:space="preserve"> </w:t>
      </w:r>
      <w:proofErr w:type="spellStart"/>
      <w:r>
        <w:t>Szabályzat</w:t>
      </w:r>
      <w:proofErr w:type="spellEnd"/>
      <w:r>
        <w:t xml:space="preserve"> 2. </w:t>
      </w:r>
      <w:proofErr w:type="spellStart"/>
      <w:proofErr w:type="gramStart"/>
      <w:r>
        <w:t>számú</w:t>
      </w:r>
      <w:proofErr w:type="spellEnd"/>
      <w:proofErr w:type="gramEnd"/>
      <w:r>
        <w:t xml:space="preserve"> </w:t>
      </w:r>
      <w:proofErr w:type="spellStart"/>
      <w:r>
        <w:t>melléklet</w:t>
      </w:r>
      <w:proofErr w:type="spellEnd"/>
      <w:r>
        <w:t xml:space="preserve"> 6. </w:t>
      </w:r>
      <w:proofErr w:type="spellStart"/>
      <w:r>
        <w:t>Cím</w:t>
      </w:r>
      <w:proofErr w:type="spellEnd"/>
      <w:r>
        <w:t xml:space="preserve"> 6.1 </w:t>
      </w:r>
      <w:proofErr w:type="spellStart"/>
      <w:r>
        <w:t>pontja</w:t>
      </w:r>
      <w:proofErr w:type="spellEnd"/>
      <w:r>
        <w:t xml:space="preserve"> (</w:t>
      </w:r>
      <w:r>
        <w:rPr>
          <w:lang w:val="hu-HU"/>
        </w:rPr>
        <w:t>„</w:t>
      </w:r>
      <w:proofErr w:type="spellStart"/>
      <w:r>
        <w:t>Belépési</w:t>
      </w:r>
      <w:proofErr w:type="spellEnd"/>
      <w:r>
        <w:t xml:space="preserve"> </w:t>
      </w:r>
      <w:proofErr w:type="spellStart"/>
      <w:r>
        <w:t>díj</w:t>
      </w:r>
      <w:proofErr w:type="spellEnd"/>
      <w:r>
        <w:t xml:space="preserve">, </w:t>
      </w:r>
      <w:proofErr w:type="spellStart"/>
      <w:r>
        <w:t>Éves</w:t>
      </w:r>
      <w:proofErr w:type="spellEnd"/>
      <w:r>
        <w:t xml:space="preserve"> </w:t>
      </w:r>
      <w:proofErr w:type="spellStart"/>
      <w:r>
        <w:t>Tagsági</w:t>
      </w:r>
      <w:proofErr w:type="spellEnd"/>
      <w:r>
        <w:t xml:space="preserve"> </w:t>
      </w:r>
      <w:proofErr w:type="spellStart"/>
      <w:r>
        <w:t>Díj</w:t>
      </w:r>
      <w:proofErr w:type="spellEnd"/>
      <w:r>
        <w:t xml:space="preserve">, </w:t>
      </w:r>
      <w:proofErr w:type="spellStart"/>
      <w:r>
        <w:t>Tranzakciós</w:t>
      </w:r>
      <w:proofErr w:type="spellEnd"/>
      <w:r>
        <w:t xml:space="preserve"> </w:t>
      </w:r>
      <w:proofErr w:type="spellStart"/>
      <w:r>
        <w:t>díj</w:t>
      </w:r>
      <w:proofErr w:type="spellEnd"/>
      <w:r>
        <w:t xml:space="preserve">, </w:t>
      </w:r>
      <w:proofErr w:type="spellStart"/>
      <w:r>
        <w:t>Rendszerhasználati</w:t>
      </w:r>
      <w:proofErr w:type="spellEnd"/>
      <w:r>
        <w:t xml:space="preserve"> </w:t>
      </w:r>
      <w:proofErr w:type="spellStart"/>
      <w:r>
        <w:t>díj</w:t>
      </w:r>
      <w:proofErr w:type="spellEnd"/>
      <w:r>
        <w:t xml:space="preserve"> </w:t>
      </w:r>
      <w:proofErr w:type="spellStart"/>
      <w:r>
        <w:t>és</w:t>
      </w:r>
      <w:proofErr w:type="spellEnd"/>
      <w:r>
        <w:t xml:space="preserve"> </w:t>
      </w:r>
      <w:proofErr w:type="spellStart"/>
      <w:r>
        <w:t>egyéb</w:t>
      </w:r>
      <w:proofErr w:type="spellEnd"/>
      <w:r>
        <w:t xml:space="preserve"> </w:t>
      </w:r>
      <w:proofErr w:type="spellStart"/>
      <w:r>
        <w:t>költségek</w:t>
      </w:r>
      <w:proofErr w:type="spellEnd"/>
      <w:r>
        <w:t>”)</w:t>
      </w:r>
      <w:r>
        <w:rPr>
          <w:lang w:val="hu-HU"/>
        </w:rPr>
        <w:t xml:space="preserve"> értelmében a Tag kérésére a</w:t>
      </w:r>
      <w:r w:rsidRPr="006E6C2F">
        <w:rPr>
          <w:lang w:val="hu-HU"/>
        </w:rPr>
        <w:t xml:space="preserve"> </w:t>
      </w:r>
      <w:r>
        <w:rPr>
          <w:lang w:val="hu-HU"/>
        </w:rPr>
        <w:t>Másnapi Aukciós</w:t>
      </w:r>
      <w:r w:rsidRPr="006E6C2F">
        <w:rPr>
          <w:lang w:val="hu-HU"/>
        </w:rPr>
        <w:t xml:space="preserve"> (</w:t>
      </w:r>
      <w:r>
        <w:rPr>
          <w:lang w:val="hu-HU"/>
        </w:rPr>
        <w:t xml:space="preserve">DAM) Piaci Szegmensen </w:t>
      </w:r>
      <w:proofErr w:type="gramStart"/>
      <w:r>
        <w:rPr>
          <w:lang w:val="hu-HU"/>
        </w:rPr>
        <w:t>az</w:t>
      </w:r>
      <w:proofErr w:type="gramEnd"/>
      <w:r>
        <w:rPr>
          <w:lang w:val="hu-HU"/>
        </w:rPr>
        <w:t xml:space="preserve"> Ajánlatnak a HUPX Zrt. által történő benyújtásáért vagy </w:t>
      </w:r>
      <w:r w:rsidRPr="0005381D">
        <w:rPr>
          <w:lang w:val="hu-HU"/>
        </w:rPr>
        <w:t>törléséért alkalmanként 50 euró adminisztrációs díj kerül felszámításra.</w:t>
      </w:r>
    </w:p>
    <w:p w:rsidR="00FE4796" w:rsidRDefault="00FE4796" w:rsidP="00FE4796">
      <w:pPr>
        <w:rPr>
          <w:lang w:val="hu-HU"/>
        </w:rPr>
      </w:pPr>
      <w:r w:rsidRPr="0005381D">
        <w:rPr>
          <w:lang w:val="hu-HU"/>
        </w:rPr>
        <w:t xml:space="preserve">Ez a díj egyaránt vonatkozik mindegyik olyan félre, amely érintett a kérés szerinti </w:t>
      </w:r>
      <w:r>
        <w:rPr>
          <w:lang w:val="hu-HU"/>
        </w:rPr>
        <w:t>ajánlat benyújtásában vagy törlésében. A jelen bekezdésben említett díjak negyedévente, a vonatkozó havi számlán kerülnek feltüntetésre.</w:t>
      </w:r>
    </w:p>
    <w:p w:rsidR="00FE4796" w:rsidRPr="0005381D" w:rsidRDefault="00FE4796" w:rsidP="00FE4796">
      <w:pPr>
        <w:pStyle w:val="Listaszerbekezds"/>
        <w:keepNext/>
        <w:keepLines/>
        <w:numPr>
          <w:ilvl w:val="0"/>
          <w:numId w:val="0"/>
        </w:numPr>
        <w:spacing w:before="200"/>
        <w:contextualSpacing/>
        <w:outlineLvl w:val="3"/>
        <w:rPr>
          <w:i/>
        </w:rPr>
      </w:pPr>
      <w:r>
        <w:rPr>
          <w:i/>
        </w:rPr>
        <w:t>In relation to Market Rules Annex 2 Title 6 Article 6.1 (“</w:t>
      </w:r>
      <w:r w:rsidRPr="00F510A7">
        <w:rPr>
          <w:i/>
        </w:rPr>
        <w:t>Entrance Fee, Annual Fees, Transaction Fees, Fees of Trading Systems and Other Expenses</w:t>
      </w:r>
      <w:r>
        <w:rPr>
          <w:i/>
        </w:rPr>
        <w:t>”) t</w:t>
      </w:r>
      <w:r w:rsidRPr="0045639C">
        <w:rPr>
          <w:i/>
        </w:rPr>
        <w:t xml:space="preserve">he administrative fees charged for having HUPX Ltd. enter or cancel an Order on the </w:t>
      </w:r>
      <w:r>
        <w:rPr>
          <w:i/>
        </w:rPr>
        <w:t xml:space="preserve">HUPX Day-Ahead (DAM) market </w:t>
      </w:r>
      <w:r w:rsidRPr="0045639C">
        <w:rPr>
          <w:i/>
        </w:rPr>
        <w:t xml:space="preserve">Segment at a Member's request </w:t>
      </w:r>
      <w:r w:rsidRPr="0005381D">
        <w:rPr>
          <w:i/>
        </w:rPr>
        <w:t>shall be EUR 50 per Order entered or cancelled.</w:t>
      </w:r>
    </w:p>
    <w:p w:rsidR="00FE4796" w:rsidRDefault="00FE4796" w:rsidP="00FE4796">
      <w:pPr>
        <w:rPr>
          <w:i/>
        </w:rPr>
      </w:pPr>
      <w:r w:rsidRPr="0045639C">
        <w:rPr>
          <w:i/>
        </w:rPr>
        <w:t>Th</w:t>
      </w:r>
      <w:r>
        <w:rPr>
          <w:i/>
        </w:rPr>
        <w:t>is</w:t>
      </w:r>
      <w:r w:rsidRPr="0045639C">
        <w:rPr>
          <w:i/>
        </w:rPr>
        <w:t xml:space="preserve"> fee appl</w:t>
      </w:r>
      <w:r>
        <w:rPr>
          <w:i/>
        </w:rPr>
        <w:t>ies</w:t>
      </w:r>
      <w:r w:rsidRPr="0045639C">
        <w:rPr>
          <w:i/>
        </w:rPr>
        <w:t xml:space="preserve"> to each party concerned in the requested entr</w:t>
      </w:r>
      <w:r>
        <w:rPr>
          <w:i/>
        </w:rPr>
        <w:t>y</w:t>
      </w:r>
      <w:r w:rsidRPr="0045639C">
        <w:rPr>
          <w:i/>
        </w:rPr>
        <w:t xml:space="preserve"> or cancellation</w:t>
      </w:r>
      <w:r>
        <w:rPr>
          <w:i/>
        </w:rPr>
        <w:t xml:space="preserve"> of the Order</w:t>
      </w:r>
      <w:r w:rsidRPr="0045639C">
        <w:rPr>
          <w:i/>
        </w:rPr>
        <w:t>. The fee</w:t>
      </w:r>
      <w:r>
        <w:rPr>
          <w:i/>
        </w:rPr>
        <w:t>s</w:t>
      </w:r>
      <w:r w:rsidRPr="0045639C">
        <w:rPr>
          <w:i/>
        </w:rPr>
        <w:t xml:space="preserve"> mentioned in this article </w:t>
      </w:r>
      <w:r>
        <w:rPr>
          <w:i/>
        </w:rPr>
        <w:t>shall be</w:t>
      </w:r>
      <w:r w:rsidRPr="0045639C">
        <w:rPr>
          <w:i/>
        </w:rPr>
        <w:t xml:space="preserve"> included </w:t>
      </w:r>
      <w:r>
        <w:rPr>
          <w:i/>
        </w:rPr>
        <w:t xml:space="preserve">quarterly </w:t>
      </w:r>
      <w:r w:rsidRPr="0045639C">
        <w:rPr>
          <w:i/>
        </w:rPr>
        <w:t xml:space="preserve">in the </w:t>
      </w:r>
      <w:r>
        <w:rPr>
          <w:i/>
        </w:rPr>
        <w:t xml:space="preserve">respective monthly </w:t>
      </w:r>
      <w:r w:rsidRPr="0045639C">
        <w:rPr>
          <w:i/>
        </w:rPr>
        <w:t>invoice.</w:t>
      </w:r>
    </w:p>
    <w:p w:rsidR="00FE4796" w:rsidRPr="004F2546" w:rsidRDefault="00FE4796" w:rsidP="00FE4796">
      <w:pPr>
        <w:pStyle w:val="Kiemeltbarna"/>
        <w:rPr>
          <w:i/>
        </w:rPr>
      </w:pPr>
      <w:r w:rsidRPr="007C2DBC">
        <w:rPr>
          <w:lang w:val="hu-HU"/>
        </w:rPr>
        <w:lastRenderedPageBreak/>
        <w:t>Tagsággal kapcsolatos ügyintézés adminisztrációs díja</w:t>
      </w:r>
      <w:r>
        <w:t xml:space="preserve"> / </w:t>
      </w:r>
      <w:r w:rsidRPr="004F2546">
        <w:rPr>
          <w:i/>
        </w:rPr>
        <w:t>Fees for membership related administrative issues</w:t>
      </w:r>
    </w:p>
    <w:p w:rsidR="00FE4796" w:rsidRDefault="00FE4796" w:rsidP="00FE4796">
      <w:pPr>
        <w:rPr>
          <w:lang w:val="hu-HU"/>
        </w:rPr>
      </w:pPr>
      <w:r>
        <w:rPr>
          <w:lang w:val="hu-HU"/>
        </w:rPr>
        <w:t>A Piaci Szabályzat 1. címe, 2. fejezete 1. részének 1.10 pontja értelmében a HUPX Zrt. minden, általa írásban jóváhagyott tagsággal kapcsolatos igény után 1 000 euró adminisztratív díjat számláz ki az igénylő tagnak.</w:t>
      </w:r>
    </w:p>
    <w:p w:rsidR="00516754" w:rsidRPr="00516754" w:rsidRDefault="00FE4796" w:rsidP="00516754">
      <w:pPr>
        <w:rPr>
          <w:highlight w:val="yellow"/>
        </w:rPr>
      </w:pPr>
      <w:r>
        <w:rPr>
          <w:i/>
        </w:rPr>
        <w:t>In relation to Market Rules Title 1., Chapter 2., Section 1., Article 1.10, t</w:t>
      </w:r>
      <w:r w:rsidRPr="00A52623">
        <w:rPr>
          <w:i/>
        </w:rPr>
        <w:t xml:space="preserve">he administrative fees charged for </w:t>
      </w:r>
      <w:r>
        <w:rPr>
          <w:i/>
        </w:rPr>
        <w:t>any membership related requests after prior written approval of HUPX Ltd.</w:t>
      </w:r>
      <w:r w:rsidRPr="00A52623">
        <w:rPr>
          <w:i/>
        </w:rPr>
        <w:t xml:space="preserve"> shall be EUR </w:t>
      </w:r>
      <w:r>
        <w:rPr>
          <w:i/>
        </w:rPr>
        <w:t>1 00</w:t>
      </w:r>
      <w:r w:rsidRPr="00A52623">
        <w:rPr>
          <w:i/>
        </w:rPr>
        <w:t xml:space="preserve">0 per </w:t>
      </w:r>
      <w:r>
        <w:rPr>
          <w:i/>
        </w:rPr>
        <w:t>request</w:t>
      </w:r>
      <w:r w:rsidRPr="00A52623">
        <w:rPr>
          <w:i/>
        </w:rPr>
        <w:t>.</w:t>
      </w:r>
    </w:p>
    <w:p w:rsidR="00516754" w:rsidRDefault="00516754" w:rsidP="009A3452"/>
    <w:p w:rsidR="001529F0" w:rsidRPr="001529F0" w:rsidRDefault="001529F0" w:rsidP="001529F0">
      <w:pPr>
        <w:spacing w:after="240"/>
        <w:rPr>
          <w:rFonts w:eastAsiaTheme="majorEastAsia" w:cstheme="majorBidi"/>
          <w:b/>
          <w:bCs/>
          <w:i/>
          <w:color w:val="0091AE"/>
          <w:sz w:val="26"/>
          <w:szCs w:val="26"/>
          <w:lang w:val="hu-HU"/>
        </w:rPr>
      </w:pPr>
      <w:r w:rsidRPr="001529F0">
        <w:rPr>
          <w:rFonts w:eastAsiaTheme="majorEastAsia" w:cstheme="majorBidi"/>
          <w:b/>
          <w:bCs/>
          <w:color w:val="0091AE"/>
          <w:sz w:val="26"/>
          <w:szCs w:val="26"/>
          <w:lang w:val="hu-HU"/>
        </w:rPr>
        <w:t>1.5</w:t>
      </w:r>
      <w:r w:rsidRPr="001529F0">
        <w:rPr>
          <w:rFonts w:eastAsiaTheme="majorEastAsia" w:cstheme="majorBidi"/>
          <w:b/>
          <w:bCs/>
          <w:color w:val="0091AE"/>
          <w:sz w:val="26"/>
          <w:szCs w:val="26"/>
          <w:lang w:val="hu-HU"/>
        </w:rPr>
        <w:tab/>
        <w:t xml:space="preserve">HUPX kereskedői vizsgadíjak és kedvezmények </w:t>
      </w:r>
      <w:r w:rsidRPr="001529F0">
        <w:rPr>
          <w:rFonts w:eastAsiaTheme="majorEastAsia" w:cstheme="majorBidi"/>
          <w:b/>
          <w:bCs/>
          <w:color w:val="0091AE"/>
          <w:lang w:val="hu-HU"/>
        </w:rPr>
        <w:t xml:space="preserve">/ </w:t>
      </w:r>
      <w:r w:rsidRPr="001529F0">
        <w:rPr>
          <w:rFonts w:eastAsiaTheme="majorEastAsia" w:cstheme="majorBidi"/>
          <w:b/>
          <w:bCs/>
          <w:i/>
          <w:color w:val="0091AE"/>
          <w:sz w:val="26"/>
          <w:szCs w:val="26"/>
          <w:lang w:val="hu-HU"/>
        </w:rPr>
        <w:t xml:space="preserve">HUPX </w:t>
      </w:r>
      <w:proofErr w:type="spellStart"/>
      <w:r w:rsidRPr="001529F0">
        <w:rPr>
          <w:rFonts w:eastAsiaTheme="majorEastAsia" w:cstheme="majorBidi"/>
          <w:b/>
          <w:bCs/>
          <w:i/>
          <w:color w:val="0091AE"/>
          <w:sz w:val="26"/>
          <w:szCs w:val="26"/>
          <w:lang w:val="hu-HU"/>
        </w:rPr>
        <w:t>Trader</w:t>
      </w:r>
      <w:proofErr w:type="spellEnd"/>
      <w:r w:rsidRPr="001529F0">
        <w:rPr>
          <w:rFonts w:eastAsiaTheme="majorEastAsia" w:cstheme="majorBidi"/>
          <w:b/>
          <w:bCs/>
          <w:i/>
          <w:color w:val="0091AE"/>
          <w:sz w:val="26"/>
          <w:szCs w:val="26"/>
          <w:lang w:val="hu-HU"/>
        </w:rPr>
        <w:t xml:space="preserve"> </w:t>
      </w:r>
      <w:proofErr w:type="spellStart"/>
      <w:r w:rsidRPr="001529F0">
        <w:rPr>
          <w:rFonts w:eastAsiaTheme="majorEastAsia" w:cstheme="majorBidi"/>
          <w:b/>
          <w:bCs/>
          <w:i/>
          <w:color w:val="0091AE"/>
          <w:sz w:val="26"/>
          <w:szCs w:val="26"/>
          <w:lang w:val="hu-HU"/>
        </w:rPr>
        <w:t>Exam</w:t>
      </w:r>
      <w:proofErr w:type="spellEnd"/>
      <w:r w:rsidRPr="001529F0">
        <w:rPr>
          <w:rFonts w:eastAsiaTheme="majorEastAsia" w:cstheme="majorBidi"/>
          <w:b/>
          <w:bCs/>
          <w:i/>
          <w:color w:val="0091AE"/>
          <w:sz w:val="26"/>
          <w:szCs w:val="26"/>
          <w:lang w:val="hu-HU"/>
        </w:rPr>
        <w:t xml:space="preserve"> </w:t>
      </w:r>
      <w:proofErr w:type="spellStart"/>
      <w:r w:rsidRPr="001529F0">
        <w:rPr>
          <w:rFonts w:eastAsiaTheme="majorEastAsia" w:cstheme="majorBidi"/>
          <w:b/>
          <w:bCs/>
          <w:i/>
          <w:color w:val="0091AE"/>
          <w:sz w:val="26"/>
          <w:szCs w:val="26"/>
          <w:lang w:val="hu-HU"/>
        </w:rPr>
        <w:t>Fees</w:t>
      </w:r>
      <w:proofErr w:type="spellEnd"/>
      <w:r w:rsidRPr="001529F0">
        <w:rPr>
          <w:rFonts w:eastAsiaTheme="majorEastAsia" w:cstheme="majorBidi"/>
          <w:b/>
          <w:bCs/>
          <w:i/>
          <w:color w:val="0091AE"/>
          <w:sz w:val="26"/>
          <w:szCs w:val="26"/>
          <w:lang w:val="hu-HU"/>
        </w:rPr>
        <w:t xml:space="preserve"> and </w:t>
      </w:r>
      <w:proofErr w:type="spellStart"/>
      <w:r w:rsidRPr="001529F0">
        <w:rPr>
          <w:rFonts w:eastAsiaTheme="majorEastAsia" w:cstheme="majorBidi"/>
          <w:b/>
          <w:bCs/>
          <w:i/>
          <w:color w:val="0091AE"/>
          <w:sz w:val="26"/>
          <w:szCs w:val="26"/>
          <w:lang w:val="hu-HU"/>
        </w:rPr>
        <w:t>Discounts</w:t>
      </w:r>
      <w:proofErr w:type="spellEnd"/>
      <w:r w:rsidRPr="001529F0">
        <w:rPr>
          <w:rStyle w:val="Kiemelsbordbold"/>
          <w:b w:val="0"/>
          <w:i/>
          <w:sz w:val="26"/>
          <w:szCs w:val="26"/>
        </w:rPr>
        <w:t xml:space="preserve"> </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5540"/>
        <w:gridCol w:w="3554"/>
      </w:tblGrid>
      <w:tr w:rsidR="001529F0" w:rsidRPr="000F7930" w:rsidTr="001529F0">
        <w:trPr>
          <w:jc w:val="center"/>
        </w:trPr>
        <w:tc>
          <w:tcPr>
            <w:tcW w:w="9094" w:type="dxa"/>
            <w:gridSpan w:val="2"/>
            <w:tcBorders>
              <w:top w:val="single" w:sz="4" w:space="0" w:color="auto"/>
              <w:left w:val="single" w:sz="4" w:space="0" w:color="auto"/>
              <w:bottom w:val="single" w:sz="4" w:space="0" w:color="auto"/>
              <w:right w:val="single" w:sz="4" w:space="0" w:color="auto"/>
            </w:tcBorders>
            <w:shd w:val="clear" w:color="auto" w:fill="0091AE"/>
            <w:vAlign w:val="center"/>
          </w:tcPr>
          <w:p w:rsidR="001529F0" w:rsidRPr="000F7930" w:rsidRDefault="001529F0" w:rsidP="001529F0">
            <w:pPr>
              <w:pStyle w:val="StlusNormlbalraFlkvr1httrKiskapitlis"/>
            </w:pPr>
            <w:r>
              <w:t xml:space="preserve">HUPX </w:t>
            </w:r>
            <w:proofErr w:type="spellStart"/>
            <w:r>
              <w:t>Kereskedői</w:t>
            </w:r>
            <w:proofErr w:type="spellEnd"/>
            <w:r>
              <w:t xml:space="preserve"> </w:t>
            </w:r>
            <w:proofErr w:type="spellStart"/>
            <w:r>
              <w:t>Vizsgadíjak</w:t>
            </w:r>
            <w:proofErr w:type="spellEnd"/>
            <w:r>
              <w:t xml:space="preserve"> / HUPX Trader Exam Fees </w:t>
            </w:r>
          </w:p>
        </w:tc>
      </w:tr>
      <w:tr w:rsidR="001529F0" w:rsidRPr="00822444" w:rsidTr="001529F0">
        <w:trPr>
          <w:trHeight w:val="340"/>
          <w:jc w:val="center"/>
        </w:trPr>
        <w:tc>
          <w:tcPr>
            <w:tcW w:w="9094" w:type="dxa"/>
            <w:gridSpan w:val="2"/>
            <w:tcBorders>
              <w:top w:val="single" w:sz="4" w:space="0" w:color="auto"/>
              <w:left w:val="single" w:sz="4" w:space="0" w:color="auto"/>
              <w:bottom w:val="single" w:sz="4" w:space="0" w:color="auto"/>
              <w:right w:val="single" w:sz="4" w:space="0" w:color="auto"/>
            </w:tcBorders>
            <w:shd w:val="clear" w:color="auto" w:fill="616161"/>
            <w:vAlign w:val="center"/>
          </w:tcPr>
          <w:p w:rsidR="001529F0" w:rsidRPr="00822444" w:rsidRDefault="001529F0" w:rsidP="001529F0">
            <w:pPr>
              <w:pStyle w:val="Normlbalra"/>
              <w:rPr>
                <w:b/>
                <w:color w:val="FFFFFF" w:themeColor="background1"/>
              </w:rPr>
            </w:pPr>
            <w:proofErr w:type="spellStart"/>
            <w:r w:rsidRPr="00822444">
              <w:rPr>
                <w:b/>
                <w:bCs/>
                <w:color w:val="FFFFFF" w:themeColor="background1"/>
                <w:szCs w:val="22"/>
              </w:rPr>
              <w:t>Képzés</w:t>
            </w:r>
            <w:proofErr w:type="spellEnd"/>
            <w:r w:rsidRPr="00822444">
              <w:rPr>
                <w:b/>
                <w:bCs/>
                <w:color w:val="FFFFFF" w:themeColor="background1"/>
                <w:szCs w:val="22"/>
              </w:rPr>
              <w:t xml:space="preserve"> </w:t>
            </w:r>
            <w:proofErr w:type="spellStart"/>
            <w:r w:rsidRPr="00822444">
              <w:rPr>
                <w:b/>
                <w:bCs/>
                <w:color w:val="FFFFFF" w:themeColor="background1"/>
                <w:szCs w:val="22"/>
              </w:rPr>
              <w:t>és</w:t>
            </w:r>
            <w:proofErr w:type="spellEnd"/>
            <w:r w:rsidRPr="00822444">
              <w:rPr>
                <w:b/>
                <w:bCs/>
                <w:color w:val="FFFFFF" w:themeColor="background1"/>
                <w:szCs w:val="22"/>
              </w:rPr>
              <w:t xml:space="preserve"> </w:t>
            </w:r>
            <w:proofErr w:type="spellStart"/>
            <w:r w:rsidRPr="00822444">
              <w:rPr>
                <w:b/>
                <w:bCs/>
                <w:color w:val="FFFFFF" w:themeColor="background1"/>
                <w:szCs w:val="22"/>
              </w:rPr>
              <w:t>vizsga</w:t>
            </w:r>
            <w:proofErr w:type="spellEnd"/>
            <w:r w:rsidRPr="00822444">
              <w:rPr>
                <w:b/>
                <w:bCs/>
                <w:color w:val="FFFFFF" w:themeColor="background1"/>
                <w:szCs w:val="22"/>
              </w:rPr>
              <w:t xml:space="preserve"> / Training &amp; exam</w:t>
            </w:r>
            <w:r w:rsidRPr="00822444">
              <w:rPr>
                <w:b/>
                <w:bCs/>
                <w:color w:val="FFFFFF" w:themeColor="background1"/>
              </w:rPr>
              <w:t xml:space="preserve"> </w:t>
            </w:r>
          </w:p>
        </w:tc>
      </w:tr>
      <w:tr w:rsidR="001529F0" w:rsidRPr="00822444" w:rsidTr="00EF5B97">
        <w:trPr>
          <w:jc w:val="center"/>
        </w:trPr>
        <w:tc>
          <w:tcPr>
            <w:tcW w:w="5540" w:type="dxa"/>
            <w:tcBorders>
              <w:top w:val="single" w:sz="4" w:space="0" w:color="auto"/>
              <w:left w:val="single" w:sz="4" w:space="0" w:color="auto"/>
              <w:bottom w:val="single" w:sz="4" w:space="0" w:color="auto"/>
              <w:right w:val="single" w:sz="4" w:space="0" w:color="auto"/>
            </w:tcBorders>
          </w:tcPr>
          <w:p w:rsidR="001529F0" w:rsidRPr="00822444" w:rsidRDefault="001529F0" w:rsidP="001529F0">
            <w:pPr>
              <w:pStyle w:val="Normlbalra"/>
            </w:pPr>
            <w:proofErr w:type="spellStart"/>
            <w:r w:rsidRPr="00822444">
              <w:rPr>
                <w:rStyle w:val="Finomkiemels"/>
                <w:i w:val="0"/>
                <w:color w:val="auto"/>
              </w:rPr>
              <w:t>Kedvezmény</w:t>
            </w:r>
            <w:proofErr w:type="spellEnd"/>
            <w:r w:rsidRPr="00822444">
              <w:rPr>
                <w:rStyle w:val="Finomkiemels"/>
                <w:i w:val="0"/>
                <w:color w:val="auto"/>
              </w:rPr>
              <w:t xml:space="preserve"> </w:t>
            </w:r>
            <w:proofErr w:type="spellStart"/>
            <w:r w:rsidRPr="00822444">
              <w:rPr>
                <w:rStyle w:val="Finomkiemels"/>
                <w:i w:val="0"/>
                <w:color w:val="auto"/>
              </w:rPr>
              <w:t>nélküli</w:t>
            </w:r>
            <w:proofErr w:type="spellEnd"/>
            <w:r w:rsidRPr="00822444">
              <w:rPr>
                <w:rStyle w:val="Finomkiemels"/>
                <w:i w:val="0"/>
                <w:color w:val="auto"/>
              </w:rPr>
              <w:t xml:space="preserve"> </w:t>
            </w:r>
            <w:proofErr w:type="spellStart"/>
            <w:r w:rsidRPr="00822444">
              <w:rPr>
                <w:rStyle w:val="Finomkiemels"/>
                <w:i w:val="0"/>
                <w:color w:val="auto"/>
              </w:rPr>
              <w:t>ár</w:t>
            </w:r>
            <w:proofErr w:type="spellEnd"/>
            <w:r w:rsidRPr="00822444">
              <w:t xml:space="preserve"> / </w:t>
            </w:r>
          </w:p>
          <w:p w:rsidR="001529F0" w:rsidRPr="00822444" w:rsidRDefault="001529F0" w:rsidP="001529F0">
            <w:pPr>
              <w:pStyle w:val="Normlbalra"/>
            </w:pPr>
            <w:r w:rsidRPr="00822444">
              <w:t>Regular price</w:t>
            </w:r>
          </w:p>
        </w:tc>
        <w:tc>
          <w:tcPr>
            <w:tcW w:w="3554" w:type="dxa"/>
            <w:tcBorders>
              <w:top w:val="single" w:sz="4" w:space="0" w:color="auto"/>
              <w:left w:val="single" w:sz="4" w:space="0" w:color="auto"/>
              <w:bottom w:val="single" w:sz="4" w:space="0" w:color="auto"/>
              <w:right w:val="single" w:sz="4" w:space="0" w:color="auto"/>
            </w:tcBorders>
          </w:tcPr>
          <w:p w:rsidR="001529F0" w:rsidRPr="00822444" w:rsidRDefault="001529F0" w:rsidP="00EF5B97">
            <w:pPr>
              <w:pStyle w:val="Normlbalra"/>
            </w:pPr>
            <w:r w:rsidRPr="00822444">
              <w:t xml:space="preserve">600 € + ÁFA / </w:t>
            </w:r>
            <w:proofErr w:type="spellStart"/>
            <w:r w:rsidRPr="00822444">
              <w:rPr>
                <w:rStyle w:val="Finomkiemels"/>
                <w:i w:val="0"/>
                <w:color w:val="auto"/>
              </w:rPr>
              <w:t>résztvevő</w:t>
            </w:r>
            <w:proofErr w:type="spellEnd"/>
            <w:r w:rsidRPr="00822444">
              <w:t xml:space="preserve"> </w:t>
            </w:r>
          </w:p>
          <w:p w:rsidR="001529F0" w:rsidRPr="00822444" w:rsidRDefault="001529F0" w:rsidP="001529F0">
            <w:pPr>
              <w:pStyle w:val="Normlbalra"/>
            </w:pPr>
            <w:r w:rsidRPr="00822444">
              <w:rPr>
                <w:rStyle w:val="Finomkiemels"/>
                <w:i w:val="0"/>
                <w:color w:val="auto"/>
              </w:rPr>
              <w:t xml:space="preserve">600 € + VAT / </w:t>
            </w:r>
            <w:r w:rsidRPr="00822444">
              <w:t>participant</w:t>
            </w:r>
          </w:p>
        </w:tc>
      </w:tr>
      <w:tr w:rsidR="001529F0" w:rsidRPr="00822444" w:rsidTr="00EF5B97">
        <w:trPr>
          <w:jc w:val="center"/>
        </w:trPr>
        <w:tc>
          <w:tcPr>
            <w:tcW w:w="5540" w:type="dxa"/>
            <w:tcBorders>
              <w:top w:val="single" w:sz="4" w:space="0" w:color="auto"/>
              <w:left w:val="single" w:sz="4" w:space="0" w:color="auto"/>
              <w:bottom w:val="single" w:sz="4" w:space="0" w:color="auto"/>
              <w:right w:val="single" w:sz="4" w:space="0" w:color="auto"/>
            </w:tcBorders>
          </w:tcPr>
          <w:p w:rsidR="001529F0" w:rsidRPr="00822444" w:rsidRDefault="001529F0" w:rsidP="001529F0">
            <w:pPr>
              <w:pStyle w:val="Normlbalra"/>
            </w:pPr>
            <w:r w:rsidRPr="00822444">
              <w:t xml:space="preserve">5-10 </w:t>
            </w:r>
            <w:proofErr w:type="spellStart"/>
            <w:r w:rsidRPr="00822444">
              <w:t>résztvevő</w:t>
            </w:r>
            <w:proofErr w:type="spellEnd"/>
            <w:r w:rsidRPr="00822444">
              <w:t xml:space="preserve"> / </w:t>
            </w:r>
            <w:r w:rsidRPr="00822444">
              <w:br/>
            </w:r>
            <w:r w:rsidRPr="00822444">
              <w:rPr>
                <w:rStyle w:val="Finomkiemels"/>
                <w:i w:val="0"/>
                <w:color w:val="auto"/>
              </w:rPr>
              <w:t>5-10 participant</w:t>
            </w:r>
          </w:p>
        </w:tc>
        <w:tc>
          <w:tcPr>
            <w:tcW w:w="3554" w:type="dxa"/>
            <w:tcBorders>
              <w:top w:val="single" w:sz="4" w:space="0" w:color="auto"/>
              <w:left w:val="single" w:sz="4" w:space="0" w:color="auto"/>
              <w:bottom w:val="single" w:sz="4" w:space="0" w:color="auto"/>
              <w:right w:val="single" w:sz="4" w:space="0" w:color="auto"/>
            </w:tcBorders>
          </w:tcPr>
          <w:p w:rsidR="001529F0" w:rsidRPr="00822444" w:rsidRDefault="001529F0" w:rsidP="00EF5B97">
            <w:pPr>
              <w:pStyle w:val="Normlbalra"/>
            </w:pPr>
            <w:r w:rsidRPr="00822444">
              <w:t xml:space="preserve">550 € + ÁFA / </w:t>
            </w:r>
            <w:proofErr w:type="spellStart"/>
            <w:r w:rsidRPr="00822444">
              <w:t>résztvevő</w:t>
            </w:r>
            <w:proofErr w:type="spellEnd"/>
            <w:r w:rsidRPr="00822444">
              <w:t xml:space="preserve"> </w:t>
            </w:r>
          </w:p>
          <w:p w:rsidR="001529F0" w:rsidRPr="00822444" w:rsidRDefault="001529F0" w:rsidP="001529F0">
            <w:pPr>
              <w:pStyle w:val="Normlbalra"/>
            </w:pPr>
            <w:r w:rsidRPr="00822444">
              <w:rPr>
                <w:rStyle w:val="Finomkiemels"/>
                <w:i w:val="0"/>
                <w:color w:val="auto"/>
              </w:rPr>
              <w:t>550 € + VAT / participant</w:t>
            </w:r>
          </w:p>
        </w:tc>
      </w:tr>
      <w:tr w:rsidR="001529F0" w:rsidRPr="00822444" w:rsidTr="00EF5B97">
        <w:trPr>
          <w:jc w:val="center"/>
        </w:trPr>
        <w:tc>
          <w:tcPr>
            <w:tcW w:w="5540" w:type="dxa"/>
            <w:tcBorders>
              <w:top w:val="single" w:sz="4" w:space="0" w:color="auto"/>
              <w:left w:val="single" w:sz="4" w:space="0" w:color="auto"/>
              <w:bottom w:val="single" w:sz="4" w:space="0" w:color="auto"/>
              <w:right w:val="single" w:sz="4" w:space="0" w:color="auto"/>
            </w:tcBorders>
          </w:tcPr>
          <w:p w:rsidR="001529F0" w:rsidRPr="00822444" w:rsidRDefault="001529F0" w:rsidP="001529F0">
            <w:pPr>
              <w:pStyle w:val="Normlbalra"/>
            </w:pPr>
            <w:r w:rsidRPr="00822444">
              <w:t xml:space="preserve">10-20 </w:t>
            </w:r>
            <w:proofErr w:type="spellStart"/>
            <w:r w:rsidRPr="00822444">
              <w:t>résztvevő</w:t>
            </w:r>
            <w:proofErr w:type="spellEnd"/>
            <w:r w:rsidRPr="00822444">
              <w:t xml:space="preserve"> / </w:t>
            </w:r>
            <w:r w:rsidRPr="00822444">
              <w:br/>
            </w:r>
            <w:r w:rsidRPr="00822444">
              <w:rPr>
                <w:rStyle w:val="Finomkiemels"/>
                <w:i w:val="0"/>
                <w:color w:val="auto"/>
              </w:rPr>
              <w:t>10-20 participant</w:t>
            </w:r>
          </w:p>
        </w:tc>
        <w:tc>
          <w:tcPr>
            <w:tcW w:w="3554" w:type="dxa"/>
            <w:tcBorders>
              <w:top w:val="single" w:sz="4" w:space="0" w:color="auto"/>
              <w:left w:val="single" w:sz="4" w:space="0" w:color="auto"/>
              <w:bottom w:val="single" w:sz="4" w:space="0" w:color="auto"/>
              <w:right w:val="single" w:sz="4" w:space="0" w:color="auto"/>
            </w:tcBorders>
          </w:tcPr>
          <w:p w:rsidR="001529F0" w:rsidRPr="00822444" w:rsidRDefault="001529F0" w:rsidP="00EF5B97">
            <w:pPr>
              <w:pStyle w:val="Normlbalra"/>
            </w:pPr>
            <w:r w:rsidRPr="00822444">
              <w:t xml:space="preserve">500 € + ÁFA / </w:t>
            </w:r>
            <w:proofErr w:type="spellStart"/>
            <w:r w:rsidRPr="00822444">
              <w:t>résztvevő</w:t>
            </w:r>
            <w:proofErr w:type="spellEnd"/>
            <w:r w:rsidRPr="00822444">
              <w:t xml:space="preserve"> </w:t>
            </w:r>
          </w:p>
          <w:p w:rsidR="001529F0" w:rsidRPr="00822444" w:rsidRDefault="001529F0" w:rsidP="001529F0">
            <w:pPr>
              <w:pStyle w:val="Normlbalra"/>
            </w:pPr>
            <w:r w:rsidRPr="00822444">
              <w:rPr>
                <w:rStyle w:val="Finomkiemels"/>
                <w:i w:val="0"/>
                <w:color w:val="auto"/>
              </w:rPr>
              <w:t>500 € + VAT / participant</w:t>
            </w:r>
          </w:p>
        </w:tc>
      </w:tr>
      <w:tr w:rsidR="001529F0" w:rsidRPr="00822444" w:rsidTr="00EF5B97">
        <w:trPr>
          <w:jc w:val="center"/>
        </w:trPr>
        <w:tc>
          <w:tcPr>
            <w:tcW w:w="5540" w:type="dxa"/>
            <w:tcBorders>
              <w:top w:val="single" w:sz="4" w:space="0" w:color="auto"/>
              <w:left w:val="single" w:sz="4" w:space="0" w:color="auto"/>
              <w:bottom w:val="single" w:sz="4" w:space="0" w:color="auto"/>
              <w:right w:val="single" w:sz="4" w:space="0" w:color="auto"/>
            </w:tcBorders>
          </w:tcPr>
          <w:p w:rsidR="001529F0" w:rsidRPr="00822444" w:rsidRDefault="001529F0" w:rsidP="001529F0">
            <w:pPr>
              <w:pStyle w:val="Normlbalra"/>
            </w:pPr>
            <w:r w:rsidRPr="00822444">
              <w:rPr>
                <w:rStyle w:val="Finomkiemels"/>
                <w:i w:val="0"/>
                <w:color w:val="auto"/>
              </w:rPr>
              <w:t xml:space="preserve">20 </w:t>
            </w:r>
            <w:proofErr w:type="spellStart"/>
            <w:r w:rsidRPr="00822444">
              <w:rPr>
                <w:rStyle w:val="Finomkiemels"/>
                <w:i w:val="0"/>
                <w:color w:val="auto"/>
              </w:rPr>
              <w:t>résztvevő</w:t>
            </w:r>
            <w:proofErr w:type="spellEnd"/>
            <w:r w:rsidRPr="00822444">
              <w:rPr>
                <w:rStyle w:val="Finomkiemels"/>
                <w:i w:val="0"/>
                <w:color w:val="auto"/>
              </w:rPr>
              <w:t xml:space="preserve"> </w:t>
            </w:r>
            <w:proofErr w:type="spellStart"/>
            <w:r w:rsidRPr="00822444">
              <w:rPr>
                <w:rStyle w:val="Finomkiemels"/>
                <w:i w:val="0"/>
                <w:color w:val="auto"/>
              </w:rPr>
              <w:t>felett</w:t>
            </w:r>
            <w:proofErr w:type="spellEnd"/>
            <w:r w:rsidRPr="00822444">
              <w:t xml:space="preserve"> / </w:t>
            </w:r>
            <w:r w:rsidRPr="00822444">
              <w:br/>
              <w:t>above 20 trainees</w:t>
            </w:r>
          </w:p>
        </w:tc>
        <w:tc>
          <w:tcPr>
            <w:tcW w:w="3554" w:type="dxa"/>
            <w:tcBorders>
              <w:top w:val="single" w:sz="4" w:space="0" w:color="auto"/>
              <w:left w:val="single" w:sz="4" w:space="0" w:color="auto"/>
              <w:bottom w:val="single" w:sz="4" w:space="0" w:color="auto"/>
              <w:right w:val="single" w:sz="4" w:space="0" w:color="auto"/>
            </w:tcBorders>
          </w:tcPr>
          <w:p w:rsidR="001529F0" w:rsidRPr="00822444" w:rsidRDefault="001529F0" w:rsidP="00EF5B97">
            <w:pPr>
              <w:pStyle w:val="Normlbalra"/>
            </w:pPr>
            <w:r w:rsidRPr="00822444">
              <w:t xml:space="preserve">450 € + ÁFA / </w:t>
            </w:r>
            <w:proofErr w:type="spellStart"/>
            <w:r w:rsidRPr="00822444">
              <w:t>résztvevő</w:t>
            </w:r>
            <w:proofErr w:type="spellEnd"/>
            <w:r w:rsidRPr="00822444">
              <w:t xml:space="preserve"> </w:t>
            </w:r>
          </w:p>
          <w:p w:rsidR="001529F0" w:rsidRPr="00822444" w:rsidRDefault="001529F0" w:rsidP="001529F0">
            <w:pPr>
              <w:pStyle w:val="Normlbalra"/>
            </w:pPr>
            <w:r w:rsidRPr="00822444">
              <w:rPr>
                <w:rStyle w:val="Finomkiemels"/>
                <w:i w:val="0"/>
                <w:color w:val="auto"/>
              </w:rPr>
              <w:t>450 € + VAT / participant</w:t>
            </w:r>
          </w:p>
        </w:tc>
      </w:tr>
      <w:tr w:rsidR="001529F0" w:rsidRPr="00822444" w:rsidTr="001529F0">
        <w:trPr>
          <w:trHeight w:val="340"/>
          <w:jc w:val="center"/>
        </w:trPr>
        <w:tc>
          <w:tcPr>
            <w:tcW w:w="9094" w:type="dxa"/>
            <w:gridSpan w:val="2"/>
            <w:tcBorders>
              <w:top w:val="single" w:sz="4" w:space="0" w:color="auto"/>
              <w:left w:val="single" w:sz="4" w:space="0" w:color="auto"/>
              <w:bottom w:val="single" w:sz="4" w:space="0" w:color="auto"/>
              <w:right w:val="single" w:sz="4" w:space="0" w:color="auto"/>
            </w:tcBorders>
            <w:shd w:val="clear" w:color="auto" w:fill="616161"/>
            <w:vAlign w:val="center"/>
          </w:tcPr>
          <w:p w:rsidR="001529F0" w:rsidRPr="00822444" w:rsidRDefault="001529F0" w:rsidP="001529F0">
            <w:pPr>
              <w:jc w:val="left"/>
              <w:rPr>
                <w:b/>
                <w:iCs/>
                <w:color w:val="FFFFFF" w:themeColor="background1"/>
              </w:rPr>
            </w:pPr>
            <w:proofErr w:type="spellStart"/>
            <w:r w:rsidRPr="00822444">
              <w:rPr>
                <w:b/>
                <w:bCs/>
                <w:color w:val="FFFFFF" w:themeColor="background1"/>
              </w:rPr>
              <w:t>Csak</w:t>
            </w:r>
            <w:proofErr w:type="spellEnd"/>
            <w:r w:rsidRPr="00822444">
              <w:rPr>
                <w:b/>
                <w:bCs/>
                <w:color w:val="FFFFFF" w:themeColor="background1"/>
              </w:rPr>
              <w:t xml:space="preserve"> </w:t>
            </w:r>
            <w:proofErr w:type="spellStart"/>
            <w:r w:rsidRPr="00822444">
              <w:rPr>
                <w:b/>
                <w:bCs/>
                <w:color w:val="FFFFFF" w:themeColor="background1"/>
              </w:rPr>
              <w:t>képzés</w:t>
            </w:r>
            <w:proofErr w:type="spellEnd"/>
            <w:r w:rsidRPr="00822444">
              <w:rPr>
                <w:b/>
                <w:bCs/>
                <w:color w:val="FFFFFF" w:themeColor="background1"/>
              </w:rPr>
              <w:t xml:space="preserve"> /Training only </w:t>
            </w:r>
          </w:p>
        </w:tc>
      </w:tr>
      <w:tr w:rsidR="001529F0" w:rsidRPr="00822444" w:rsidTr="00EF5B97">
        <w:trPr>
          <w:jc w:val="center"/>
        </w:trPr>
        <w:tc>
          <w:tcPr>
            <w:tcW w:w="5540" w:type="dxa"/>
            <w:tcBorders>
              <w:top w:val="single" w:sz="4" w:space="0" w:color="auto"/>
              <w:left w:val="single" w:sz="4" w:space="0" w:color="auto"/>
              <w:bottom w:val="single" w:sz="4" w:space="0" w:color="auto"/>
              <w:right w:val="single" w:sz="4" w:space="0" w:color="auto"/>
            </w:tcBorders>
          </w:tcPr>
          <w:p w:rsidR="00822444" w:rsidRPr="00822444" w:rsidRDefault="00822444" w:rsidP="00822444">
            <w:pPr>
              <w:pStyle w:val="Normlbalra"/>
            </w:pPr>
            <w:proofErr w:type="spellStart"/>
            <w:r w:rsidRPr="00822444">
              <w:rPr>
                <w:rStyle w:val="Finomkiemels"/>
                <w:i w:val="0"/>
                <w:color w:val="auto"/>
              </w:rPr>
              <w:t>Kedvezmény</w:t>
            </w:r>
            <w:proofErr w:type="spellEnd"/>
            <w:r w:rsidRPr="00822444">
              <w:rPr>
                <w:rStyle w:val="Finomkiemels"/>
                <w:i w:val="0"/>
                <w:color w:val="auto"/>
              </w:rPr>
              <w:t xml:space="preserve"> </w:t>
            </w:r>
            <w:proofErr w:type="spellStart"/>
            <w:r w:rsidRPr="00822444">
              <w:rPr>
                <w:rStyle w:val="Finomkiemels"/>
                <w:i w:val="0"/>
                <w:color w:val="auto"/>
              </w:rPr>
              <w:t>nélküli</w:t>
            </w:r>
            <w:proofErr w:type="spellEnd"/>
            <w:r w:rsidRPr="00822444">
              <w:rPr>
                <w:rStyle w:val="Finomkiemels"/>
                <w:i w:val="0"/>
                <w:color w:val="auto"/>
              </w:rPr>
              <w:t xml:space="preserve"> </w:t>
            </w:r>
            <w:proofErr w:type="spellStart"/>
            <w:r w:rsidRPr="00822444">
              <w:rPr>
                <w:rStyle w:val="Finomkiemels"/>
                <w:i w:val="0"/>
                <w:color w:val="auto"/>
              </w:rPr>
              <w:t>ár</w:t>
            </w:r>
            <w:proofErr w:type="spellEnd"/>
            <w:r w:rsidRPr="00822444">
              <w:t xml:space="preserve"> </w:t>
            </w:r>
            <w:r w:rsidR="001529F0" w:rsidRPr="00822444">
              <w:t xml:space="preserve">/ </w:t>
            </w:r>
          </w:p>
          <w:p w:rsidR="001529F0" w:rsidRPr="00822444" w:rsidRDefault="00822444" w:rsidP="00822444">
            <w:pPr>
              <w:pStyle w:val="Normlbalra"/>
            </w:pPr>
            <w:r w:rsidRPr="00822444">
              <w:t>Regular price</w:t>
            </w:r>
          </w:p>
        </w:tc>
        <w:tc>
          <w:tcPr>
            <w:tcW w:w="3554" w:type="dxa"/>
            <w:tcBorders>
              <w:top w:val="single" w:sz="4" w:space="0" w:color="auto"/>
              <w:left w:val="single" w:sz="4" w:space="0" w:color="auto"/>
              <w:bottom w:val="single" w:sz="4" w:space="0" w:color="auto"/>
              <w:right w:val="single" w:sz="4" w:space="0" w:color="auto"/>
            </w:tcBorders>
          </w:tcPr>
          <w:p w:rsidR="001529F0" w:rsidRPr="00822444" w:rsidRDefault="001529F0" w:rsidP="00EF5B97">
            <w:pPr>
              <w:pStyle w:val="Normlbalra"/>
            </w:pPr>
            <w:r w:rsidRPr="00822444">
              <w:t xml:space="preserve">450 € + </w:t>
            </w:r>
            <w:r w:rsidR="00822444" w:rsidRPr="00822444">
              <w:t>ÁFA</w:t>
            </w:r>
            <w:r w:rsidRPr="00822444">
              <w:t xml:space="preserve"> / </w:t>
            </w:r>
            <w:proofErr w:type="spellStart"/>
            <w:r w:rsidR="00822444" w:rsidRPr="00822444">
              <w:t>résztvevő</w:t>
            </w:r>
            <w:proofErr w:type="spellEnd"/>
            <w:r w:rsidRPr="00822444">
              <w:t xml:space="preserve"> </w:t>
            </w:r>
          </w:p>
          <w:p w:rsidR="001529F0" w:rsidRPr="00822444" w:rsidRDefault="001529F0" w:rsidP="00822444">
            <w:pPr>
              <w:pStyle w:val="Normlbalra"/>
            </w:pPr>
            <w:r w:rsidRPr="00822444">
              <w:rPr>
                <w:rStyle w:val="Finomkiemels"/>
                <w:i w:val="0"/>
                <w:color w:val="auto"/>
              </w:rPr>
              <w:t xml:space="preserve">450 € + </w:t>
            </w:r>
            <w:r w:rsidR="00822444" w:rsidRPr="00822444">
              <w:rPr>
                <w:rStyle w:val="Finomkiemels"/>
                <w:i w:val="0"/>
                <w:color w:val="auto"/>
              </w:rPr>
              <w:t>VAT</w:t>
            </w:r>
            <w:r w:rsidRPr="00822444">
              <w:rPr>
                <w:rStyle w:val="Finomkiemels"/>
                <w:i w:val="0"/>
                <w:color w:val="auto"/>
              </w:rPr>
              <w:t xml:space="preserve"> / </w:t>
            </w:r>
            <w:r w:rsidR="00822444" w:rsidRPr="00822444">
              <w:rPr>
                <w:rStyle w:val="Finomkiemels"/>
                <w:i w:val="0"/>
                <w:color w:val="auto"/>
              </w:rPr>
              <w:t>participant</w:t>
            </w:r>
          </w:p>
        </w:tc>
      </w:tr>
      <w:tr w:rsidR="001529F0" w:rsidRPr="00822444" w:rsidTr="00EF5B97">
        <w:trPr>
          <w:jc w:val="center"/>
        </w:trPr>
        <w:tc>
          <w:tcPr>
            <w:tcW w:w="5540" w:type="dxa"/>
            <w:tcBorders>
              <w:top w:val="single" w:sz="4" w:space="0" w:color="auto"/>
              <w:left w:val="single" w:sz="4" w:space="0" w:color="auto"/>
              <w:bottom w:val="single" w:sz="4" w:space="0" w:color="auto"/>
              <w:right w:val="single" w:sz="4" w:space="0" w:color="auto"/>
            </w:tcBorders>
          </w:tcPr>
          <w:p w:rsidR="001529F0" w:rsidRPr="00822444" w:rsidRDefault="001529F0" w:rsidP="009A2F16">
            <w:pPr>
              <w:pStyle w:val="Normlbalra"/>
            </w:pPr>
            <w:r w:rsidRPr="00822444">
              <w:t xml:space="preserve">10-20 </w:t>
            </w:r>
            <w:proofErr w:type="spellStart"/>
            <w:r w:rsidR="009A2F16" w:rsidRPr="00822444">
              <w:rPr>
                <w:rStyle w:val="Finomkiemels"/>
                <w:i w:val="0"/>
                <w:color w:val="auto"/>
              </w:rPr>
              <w:t>résztvevő</w:t>
            </w:r>
            <w:proofErr w:type="spellEnd"/>
            <w:r w:rsidR="009A2F16" w:rsidRPr="00822444">
              <w:t xml:space="preserve"> </w:t>
            </w:r>
            <w:r w:rsidR="009A2F16">
              <w:t>/</w:t>
            </w:r>
            <w:r w:rsidRPr="00822444">
              <w:br/>
            </w:r>
            <w:r w:rsidRPr="00822444">
              <w:rPr>
                <w:rStyle w:val="Finomkiemels"/>
                <w:i w:val="0"/>
                <w:color w:val="auto"/>
              </w:rPr>
              <w:t xml:space="preserve">10-20 </w:t>
            </w:r>
            <w:r w:rsidR="009A2F16" w:rsidRPr="00822444">
              <w:t>trainees</w:t>
            </w:r>
          </w:p>
        </w:tc>
        <w:tc>
          <w:tcPr>
            <w:tcW w:w="3554" w:type="dxa"/>
            <w:tcBorders>
              <w:top w:val="single" w:sz="4" w:space="0" w:color="auto"/>
              <w:left w:val="single" w:sz="4" w:space="0" w:color="auto"/>
              <w:bottom w:val="single" w:sz="4" w:space="0" w:color="auto"/>
              <w:right w:val="single" w:sz="4" w:space="0" w:color="auto"/>
            </w:tcBorders>
          </w:tcPr>
          <w:p w:rsidR="001529F0" w:rsidRPr="00822444" w:rsidRDefault="001529F0" w:rsidP="00EF5B97">
            <w:pPr>
              <w:pStyle w:val="Normlbalra"/>
            </w:pPr>
            <w:r w:rsidRPr="00822444">
              <w:t xml:space="preserve">400 € + </w:t>
            </w:r>
            <w:r w:rsidR="009A2F16">
              <w:t>ÁFA</w:t>
            </w:r>
            <w:r w:rsidRPr="00822444">
              <w:t xml:space="preserve"> / </w:t>
            </w:r>
            <w:proofErr w:type="spellStart"/>
            <w:r w:rsidR="009A2F16" w:rsidRPr="00822444">
              <w:rPr>
                <w:rStyle w:val="Finomkiemels"/>
                <w:i w:val="0"/>
                <w:color w:val="auto"/>
              </w:rPr>
              <w:t>résztvevő</w:t>
            </w:r>
            <w:proofErr w:type="spellEnd"/>
            <w:r w:rsidR="009A2F16" w:rsidRPr="00822444">
              <w:t xml:space="preserve"> </w:t>
            </w:r>
          </w:p>
          <w:p w:rsidR="001529F0" w:rsidRPr="00822444" w:rsidRDefault="001529F0" w:rsidP="009A2F16">
            <w:pPr>
              <w:pStyle w:val="Normlbalra"/>
            </w:pPr>
            <w:r w:rsidRPr="00822444">
              <w:rPr>
                <w:rStyle w:val="Finomkiemels"/>
                <w:i w:val="0"/>
                <w:color w:val="auto"/>
              </w:rPr>
              <w:t>4</w:t>
            </w:r>
            <w:r w:rsidR="009A2F16">
              <w:rPr>
                <w:rStyle w:val="Finomkiemels"/>
                <w:i w:val="0"/>
                <w:color w:val="auto"/>
              </w:rPr>
              <w:t>00 € + VAT</w:t>
            </w:r>
            <w:r w:rsidRPr="00822444">
              <w:rPr>
                <w:rStyle w:val="Finomkiemels"/>
                <w:i w:val="0"/>
                <w:color w:val="auto"/>
              </w:rPr>
              <w:t xml:space="preserve"> / </w:t>
            </w:r>
            <w:r w:rsidR="009A2F16" w:rsidRPr="00822444">
              <w:t>participant</w:t>
            </w:r>
          </w:p>
        </w:tc>
      </w:tr>
      <w:tr w:rsidR="001529F0" w:rsidRPr="00822444" w:rsidTr="00EF5B97">
        <w:trPr>
          <w:jc w:val="center"/>
        </w:trPr>
        <w:tc>
          <w:tcPr>
            <w:tcW w:w="5540" w:type="dxa"/>
            <w:tcBorders>
              <w:top w:val="single" w:sz="4" w:space="0" w:color="auto"/>
              <w:left w:val="single" w:sz="4" w:space="0" w:color="auto"/>
              <w:bottom w:val="single" w:sz="4" w:space="0" w:color="auto"/>
              <w:right w:val="single" w:sz="4" w:space="0" w:color="auto"/>
            </w:tcBorders>
          </w:tcPr>
          <w:p w:rsidR="009A2F16" w:rsidRDefault="009A2F16" w:rsidP="009A2F16">
            <w:pPr>
              <w:pStyle w:val="Normlbalra"/>
            </w:pPr>
            <w:r w:rsidRPr="00822444">
              <w:rPr>
                <w:rStyle w:val="Finomkiemels"/>
                <w:i w:val="0"/>
                <w:color w:val="auto"/>
              </w:rPr>
              <w:t xml:space="preserve">20 </w:t>
            </w:r>
            <w:proofErr w:type="spellStart"/>
            <w:r w:rsidRPr="00822444">
              <w:rPr>
                <w:rStyle w:val="Finomkiemels"/>
                <w:i w:val="0"/>
                <w:color w:val="auto"/>
              </w:rPr>
              <w:t>résztvevő</w:t>
            </w:r>
            <w:proofErr w:type="spellEnd"/>
            <w:r w:rsidRPr="00822444">
              <w:rPr>
                <w:rStyle w:val="Finomkiemels"/>
                <w:i w:val="0"/>
                <w:color w:val="auto"/>
              </w:rPr>
              <w:t xml:space="preserve"> </w:t>
            </w:r>
            <w:proofErr w:type="spellStart"/>
            <w:r w:rsidRPr="00822444">
              <w:rPr>
                <w:rStyle w:val="Finomkiemels"/>
                <w:i w:val="0"/>
                <w:color w:val="auto"/>
              </w:rPr>
              <w:t>felett</w:t>
            </w:r>
            <w:proofErr w:type="spellEnd"/>
            <w:r w:rsidRPr="00822444">
              <w:t xml:space="preserve"> </w:t>
            </w:r>
            <w:r w:rsidR="001529F0" w:rsidRPr="00822444">
              <w:t xml:space="preserve">/ </w:t>
            </w:r>
          </w:p>
          <w:p w:rsidR="001529F0" w:rsidRPr="00822444" w:rsidRDefault="009A2F16" w:rsidP="009A2F16">
            <w:pPr>
              <w:pStyle w:val="Normlbalra"/>
            </w:pPr>
            <w:r w:rsidRPr="00822444">
              <w:t>above 20 trainees</w:t>
            </w:r>
          </w:p>
        </w:tc>
        <w:tc>
          <w:tcPr>
            <w:tcW w:w="3554" w:type="dxa"/>
            <w:tcBorders>
              <w:top w:val="single" w:sz="4" w:space="0" w:color="auto"/>
              <w:left w:val="single" w:sz="4" w:space="0" w:color="auto"/>
              <w:bottom w:val="single" w:sz="4" w:space="0" w:color="auto"/>
              <w:right w:val="single" w:sz="4" w:space="0" w:color="auto"/>
            </w:tcBorders>
          </w:tcPr>
          <w:p w:rsidR="001529F0" w:rsidRPr="00822444" w:rsidRDefault="001529F0" w:rsidP="00EF5B97">
            <w:pPr>
              <w:pStyle w:val="Normlbalra"/>
            </w:pPr>
            <w:r w:rsidRPr="00822444">
              <w:t xml:space="preserve">300 € + </w:t>
            </w:r>
            <w:r w:rsidR="00822444" w:rsidRPr="00822444">
              <w:t>ÁFA</w:t>
            </w:r>
            <w:r w:rsidRPr="00822444">
              <w:t xml:space="preserve"> / </w:t>
            </w:r>
            <w:proofErr w:type="spellStart"/>
            <w:r w:rsidR="00822444" w:rsidRPr="00822444">
              <w:t>résztvevő</w:t>
            </w:r>
            <w:proofErr w:type="spellEnd"/>
            <w:r w:rsidRPr="00822444">
              <w:t xml:space="preserve"> </w:t>
            </w:r>
          </w:p>
          <w:p w:rsidR="001529F0" w:rsidRPr="00822444" w:rsidRDefault="001529F0" w:rsidP="00EF5B97">
            <w:pPr>
              <w:pStyle w:val="Normlbalra"/>
            </w:pPr>
            <w:r w:rsidRPr="00822444">
              <w:rPr>
                <w:rStyle w:val="Finomkiemels"/>
                <w:i w:val="0"/>
                <w:color w:val="auto"/>
              </w:rPr>
              <w:t>3</w:t>
            </w:r>
            <w:r w:rsidR="00822444" w:rsidRPr="00822444">
              <w:rPr>
                <w:rStyle w:val="Finomkiemels"/>
                <w:i w:val="0"/>
                <w:color w:val="auto"/>
              </w:rPr>
              <w:t>00 € + VAT /</w:t>
            </w:r>
            <w:r w:rsidR="00822444" w:rsidRPr="00822444">
              <w:t xml:space="preserve"> participant</w:t>
            </w:r>
          </w:p>
        </w:tc>
      </w:tr>
      <w:tr w:rsidR="00822444" w:rsidRPr="00822444" w:rsidTr="001529F0">
        <w:trPr>
          <w:trHeight w:val="340"/>
          <w:jc w:val="center"/>
        </w:trPr>
        <w:tc>
          <w:tcPr>
            <w:tcW w:w="9094" w:type="dxa"/>
            <w:gridSpan w:val="2"/>
            <w:tcBorders>
              <w:top w:val="single" w:sz="4" w:space="0" w:color="auto"/>
              <w:left w:val="single" w:sz="4" w:space="0" w:color="auto"/>
              <w:bottom w:val="single" w:sz="4" w:space="0" w:color="auto"/>
              <w:right w:val="single" w:sz="4" w:space="0" w:color="auto"/>
            </w:tcBorders>
            <w:shd w:val="clear" w:color="auto" w:fill="616161"/>
            <w:vAlign w:val="center"/>
          </w:tcPr>
          <w:p w:rsidR="001529F0" w:rsidRPr="00822444" w:rsidRDefault="001529F0" w:rsidP="001529F0">
            <w:pPr>
              <w:jc w:val="left"/>
              <w:rPr>
                <w:b/>
                <w:iCs/>
                <w:color w:val="FFFFFF" w:themeColor="background1"/>
              </w:rPr>
            </w:pPr>
            <w:proofErr w:type="spellStart"/>
            <w:r w:rsidRPr="00822444">
              <w:rPr>
                <w:b/>
                <w:bCs/>
                <w:color w:val="FFFFFF" w:themeColor="background1"/>
              </w:rPr>
              <w:t>Csak</w:t>
            </w:r>
            <w:proofErr w:type="spellEnd"/>
            <w:r w:rsidRPr="00822444">
              <w:rPr>
                <w:b/>
                <w:bCs/>
                <w:color w:val="FFFFFF" w:themeColor="background1"/>
              </w:rPr>
              <w:t xml:space="preserve"> </w:t>
            </w:r>
            <w:proofErr w:type="spellStart"/>
            <w:r w:rsidRPr="00822444">
              <w:rPr>
                <w:b/>
                <w:bCs/>
                <w:color w:val="FFFFFF" w:themeColor="background1"/>
              </w:rPr>
              <w:t>vizsga</w:t>
            </w:r>
            <w:proofErr w:type="spellEnd"/>
            <w:r w:rsidRPr="00822444">
              <w:rPr>
                <w:b/>
                <w:bCs/>
                <w:color w:val="FFFFFF" w:themeColor="background1"/>
              </w:rPr>
              <w:t xml:space="preserve"> / Exam only </w:t>
            </w:r>
          </w:p>
        </w:tc>
      </w:tr>
      <w:tr w:rsidR="001529F0" w:rsidRPr="00822444" w:rsidTr="00EF5B97">
        <w:trPr>
          <w:jc w:val="center"/>
        </w:trPr>
        <w:tc>
          <w:tcPr>
            <w:tcW w:w="5540" w:type="dxa"/>
            <w:tcBorders>
              <w:top w:val="single" w:sz="4" w:space="0" w:color="auto"/>
              <w:left w:val="single" w:sz="4" w:space="0" w:color="auto"/>
              <w:bottom w:val="single" w:sz="4" w:space="0" w:color="auto"/>
              <w:right w:val="single" w:sz="4" w:space="0" w:color="auto"/>
            </w:tcBorders>
          </w:tcPr>
          <w:p w:rsidR="00822444" w:rsidRPr="00822444" w:rsidRDefault="00822444" w:rsidP="00822444">
            <w:pPr>
              <w:pStyle w:val="Normlbalra"/>
            </w:pPr>
            <w:proofErr w:type="spellStart"/>
            <w:r w:rsidRPr="00822444">
              <w:rPr>
                <w:rStyle w:val="Finomkiemels"/>
                <w:i w:val="0"/>
                <w:color w:val="auto"/>
              </w:rPr>
              <w:t>Kedvezmény</w:t>
            </w:r>
            <w:proofErr w:type="spellEnd"/>
            <w:r w:rsidRPr="00822444">
              <w:rPr>
                <w:rStyle w:val="Finomkiemels"/>
                <w:i w:val="0"/>
                <w:color w:val="auto"/>
              </w:rPr>
              <w:t xml:space="preserve"> </w:t>
            </w:r>
            <w:proofErr w:type="spellStart"/>
            <w:r w:rsidRPr="00822444">
              <w:rPr>
                <w:rStyle w:val="Finomkiemels"/>
                <w:i w:val="0"/>
                <w:color w:val="auto"/>
              </w:rPr>
              <w:t>nélküli</w:t>
            </w:r>
            <w:proofErr w:type="spellEnd"/>
            <w:r w:rsidRPr="00822444">
              <w:rPr>
                <w:rStyle w:val="Finomkiemels"/>
                <w:i w:val="0"/>
                <w:color w:val="auto"/>
              </w:rPr>
              <w:t xml:space="preserve"> </w:t>
            </w:r>
            <w:proofErr w:type="spellStart"/>
            <w:r w:rsidRPr="00822444">
              <w:rPr>
                <w:rStyle w:val="Finomkiemels"/>
                <w:i w:val="0"/>
                <w:color w:val="auto"/>
              </w:rPr>
              <w:t>ár</w:t>
            </w:r>
            <w:proofErr w:type="spellEnd"/>
            <w:r w:rsidRPr="00822444">
              <w:t xml:space="preserve"> / </w:t>
            </w:r>
          </w:p>
          <w:p w:rsidR="001529F0" w:rsidRPr="00822444" w:rsidRDefault="00822444" w:rsidP="00822444">
            <w:pPr>
              <w:pStyle w:val="Normlbalra"/>
            </w:pPr>
            <w:r w:rsidRPr="00822444">
              <w:t>Regular price</w:t>
            </w:r>
          </w:p>
        </w:tc>
        <w:tc>
          <w:tcPr>
            <w:tcW w:w="3554" w:type="dxa"/>
            <w:tcBorders>
              <w:top w:val="single" w:sz="4" w:space="0" w:color="auto"/>
              <w:left w:val="single" w:sz="4" w:space="0" w:color="auto"/>
              <w:bottom w:val="single" w:sz="4" w:space="0" w:color="auto"/>
              <w:right w:val="single" w:sz="4" w:space="0" w:color="auto"/>
            </w:tcBorders>
          </w:tcPr>
          <w:p w:rsidR="001529F0" w:rsidRPr="00822444" w:rsidRDefault="001529F0" w:rsidP="00EF5B97">
            <w:pPr>
              <w:pStyle w:val="Normlbalra"/>
            </w:pPr>
            <w:r w:rsidRPr="00822444">
              <w:t xml:space="preserve">300 € + </w:t>
            </w:r>
            <w:r w:rsidR="00822444" w:rsidRPr="00822444">
              <w:t>ÁFA</w:t>
            </w:r>
            <w:r w:rsidRPr="00822444">
              <w:t xml:space="preserve"> / </w:t>
            </w:r>
            <w:proofErr w:type="spellStart"/>
            <w:r w:rsidR="00822444" w:rsidRPr="00822444">
              <w:t>résztvevő</w:t>
            </w:r>
            <w:proofErr w:type="spellEnd"/>
            <w:r w:rsidRPr="00822444">
              <w:t xml:space="preserve"> </w:t>
            </w:r>
          </w:p>
          <w:p w:rsidR="001529F0" w:rsidRPr="00822444" w:rsidRDefault="001529F0" w:rsidP="00EF5B97">
            <w:pPr>
              <w:pStyle w:val="Normlbalra"/>
            </w:pPr>
            <w:r w:rsidRPr="00822444">
              <w:rPr>
                <w:rStyle w:val="Finomkiemels"/>
                <w:i w:val="0"/>
                <w:color w:val="auto"/>
              </w:rPr>
              <w:t>3</w:t>
            </w:r>
            <w:r w:rsidR="00822444" w:rsidRPr="00822444">
              <w:rPr>
                <w:rStyle w:val="Finomkiemels"/>
                <w:i w:val="0"/>
                <w:color w:val="auto"/>
              </w:rPr>
              <w:t>00 € + VAT / participant</w:t>
            </w:r>
          </w:p>
        </w:tc>
      </w:tr>
    </w:tbl>
    <w:p w:rsidR="001529F0" w:rsidRDefault="001529F0" w:rsidP="001529F0"/>
    <w:p w:rsidR="00380E7D" w:rsidRDefault="00380E7D" w:rsidP="001529F0"/>
    <w:p w:rsidR="00380E7D" w:rsidRDefault="00380E7D" w:rsidP="001529F0"/>
    <w:p w:rsidR="00380E7D" w:rsidRDefault="00380E7D" w:rsidP="001529F0"/>
    <w:p w:rsidR="00380E7D" w:rsidRDefault="00380E7D" w:rsidP="001529F0"/>
    <w:p w:rsidR="001529F0" w:rsidRPr="00822444" w:rsidRDefault="001529F0" w:rsidP="001529F0">
      <w:pPr>
        <w:rPr>
          <w:rStyle w:val="Finomkiemels"/>
          <w:highlight w:val="yellow"/>
        </w:rPr>
      </w:pP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5540"/>
        <w:gridCol w:w="3554"/>
      </w:tblGrid>
      <w:tr w:rsidR="001529F0" w:rsidRPr="00822444" w:rsidTr="001529F0">
        <w:trPr>
          <w:jc w:val="center"/>
        </w:trPr>
        <w:tc>
          <w:tcPr>
            <w:tcW w:w="9094" w:type="dxa"/>
            <w:gridSpan w:val="2"/>
            <w:tcBorders>
              <w:top w:val="single" w:sz="4" w:space="0" w:color="auto"/>
              <w:left w:val="single" w:sz="4" w:space="0" w:color="auto"/>
              <w:bottom w:val="single" w:sz="4" w:space="0" w:color="auto"/>
              <w:right w:val="single" w:sz="4" w:space="0" w:color="auto"/>
            </w:tcBorders>
            <w:shd w:val="clear" w:color="auto" w:fill="0091AE"/>
            <w:vAlign w:val="center"/>
          </w:tcPr>
          <w:p w:rsidR="001529F0" w:rsidRPr="00822444" w:rsidRDefault="001529F0" w:rsidP="001529F0">
            <w:pPr>
              <w:pStyle w:val="StlusNormlbalraFlkvr1httrKiskapitlis"/>
            </w:pPr>
            <w:r w:rsidRPr="00822444">
              <w:lastRenderedPageBreak/>
              <w:t xml:space="preserve">HUPX ONLINE </w:t>
            </w:r>
            <w:proofErr w:type="spellStart"/>
            <w:r w:rsidRPr="00822444">
              <w:t>Kereskedői</w:t>
            </w:r>
            <w:proofErr w:type="spellEnd"/>
            <w:r w:rsidRPr="00822444">
              <w:t xml:space="preserve"> </w:t>
            </w:r>
            <w:proofErr w:type="spellStart"/>
            <w:r w:rsidRPr="00822444">
              <w:t>Vizsgadíjak</w:t>
            </w:r>
            <w:proofErr w:type="spellEnd"/>
            <w:r w:rsidRPr="00822444">
              <w:t xml:space="preserve"> / HUPX ONLINE Trader Exam Fees </w:t>
            </w:r>
          </w:p>
        </w:tc>
      </w:tr>
      <w:tr w:rsidR="00822444" w:rsidRPr="00822444" w:rsidTr="00822444">
        <w:trPr>
          <w:trHeight w:val="340"/>
          <w:jc w:val="center"/>
        </w:trPr>
        <w:tc>
          <w:tcPr>
            <w:tcW w:w="9094" w:type="dxa"/>
            <w:gridSpan w:val="2"/>
            <w:tcBorders>
              <w:top w:val="single" w:sz="4" w:space="0" w:color="auto"/>
              <w:left w:val="single" w:sz="4" w:space="0" w:color="auto"/>
              <w:bottom w:val="single" w:sz="4" w:space="0" w:color="auto"/>
              <w:right w:val="single" w:sz="4" w:space="0" w:color="auto"/>
            </w:tcBorders>
            <w:shd w:val="clear" w:color="auto" w:fill="5D5E5E"/>
            <w:vAlign w:val="center"/>
          </w:tcPr>
          <w:p w:rsidR="001529F0" w:rsidRPr="00822444" w:rsidRDefault="001529F0" w:rsidP="00822444">
            <w:pPr>
              <w:pStyle w:val="Normlbalra"/>
              <w:rPr>
                <w:b/>
                <w:color w:val="FFFFFF" w:themeColor="background1"/>
              </w:rPr>
            </w:pPr>
            <w:r w:rsidRPr="00822444">
              <w:rPr>
                <w:b/>
                <w:bCs/>
                <w:color w:val="FFFFFF" w:themeColor="background1"/>
                <w:szCs w:val="22"/>
              </w:rPr>
              <w:t xml:space="preserve">ONLINE </w:t>
            </w:r>
            <w:proofErr w:type="spellStart"/>
            <w:r w:rsidR="00822444" w:rsidRPr="00822444">
              <w:rPr>
                <w:b/>
                <w:bCs/>
                <w:color w:val="FFFFFF" w:themeColor="background1"/>
                <w:szCs w:val="22"/>
              </w:rPr>
              <w:t>Képzés</w:t>
            </w:r>
            <w:proofErr w:type="spellEnd"/>
            <w:r w:rsidR="00822444" w:rsidRPr="00822444">
              <w:rPr>
                <w:b/>
                <w:bCs/>
                <w:color w:val="FFFFFF" w:themeColor="background1"/>
                <w:szCs w:val="22"/>
              </w:rPr>
              <w:t xml:space="preserve"> </w:t>
            </w:r>
            <w:proofErr w:type="spellStart"/>
            <w:r w:rsidR="00822444" w:rsidRPr="00822444">
              <w:rPr>
                <w:b/>
                <w:bCs/>
                <w:color w:val="FFFFFF" w:themeColor="background1"/>
                <w:szCs w:val="22"/>
              </w:rPr>
              <w:t>és</w:t>
            </w:r>
            <w:proofErr w:type="spellEnd"/>
            <w:r w:rsidR="00822444" w:rsidRPr="00822444">
              <w:rPr>
                <w:b/>
                <w:bCs/>
                <w:color w:val="FFFFFF" w:themeColor="background1"/>
                <w:szCs w:val="22"/>
              </w:rPr>
              <w:t xml:space="preserve"> </w:t>
            </w:r>
            <w:proofErr w:type="spellStart"/>
            <w:r w:rsidR="00822444" w:rsidRPr="00822444">
              <w:rPr>
                <w:b/>
                <w:bCs/>
                <w:color w:val="FFFFFF" w:themeColor="background1"/>
                <w:szCs w:val="22"/>
              </w:rPr>
              <w:t>vizsga</w:t>
            </w:r>
            <w:proofErr w:type="spellEnd"/>
            <w:r w:rsidR="00822444" w:rsidRPr="00822444">
              <w:rPr>
                <w:b/>
                <w:bCs/>
                <w:color w:val="FFFFFF" w:themeColor="background1"/>
                <w:szCs w:val="22"/>
              </w:rPr>
              <w:t xml:space="preserve"> </w:t>
            </w:r>
            <w:r w:rsidRPr="00822444">
              <w:rPr>
                <w:b/>
                <w:bCs/>
                <w:color w:val="FFFFFF" w:themeColor="background1"/>
              </w:rPr>
              <w:t xml:space="preserve">/ </w:t>
            </w:r>
            <w:r w:rsidRPr="00822444">
              <w:rPr>
                <w:b/>
                <w:bCs/>
                <w:color w:val="FFFFFF" w:themeColor="background1"/>
                <w:szCs w:val="22"/>
              </w:rPr>
              <w:t>ONLINE</w:t>
            </w:r>
            <w:r w:rsidRPr="00822444">
              <w:rPr>
                <w:b/>
                <w:bCs/>
                <w:color w:val="FFFFFF" w:themeColor="background1"/>
              </w:rPr>
              <w:t xml:space="preserve"> </w:t>
            </w:r>
            <w:r w:rsidR="00822444" w:rsidRPr="00822444">
              <w:rPr>
                <w:b/>
                <w:bCs/>
                <w:color w:val="FFFFFF" w:themeColor="background1"/>
                <w:szCs w:val="22"/>
              </w:rPr>
              <w:t>Training &amp; exam</w:t>
            </w:r>
          </w:p>
        </w:tc>
      </w:tr>
      <w:tr w:rsidR="00822444" w:rsidRPr="00822444" w:rsidTr="00EF5B97">
        <w:trPr>
          <w:jc w:val="center"/>
        </w:trPr>
        <w:tc>
          <w:tcPr>
            <w:tcW w:w="5540" w:type="dxa"/>
            <w:tcBorders>
              <w:top w:val="single" w:sz="4" w:space="0" w:color="auto"/>
              <w:left w:val="single" w:sz="4" w:space="0" w:color="auto"/>
              <w:bottom w:val="single" w:sz="4" w:space="0" w:color="auto"/>
              <w:right w:val="single" w:sz="4" w:space="0" w:color="auto"/>
            </w:tcBorders>
          </w:tcPr>
          <w:p w:rsidR="00822444" w:rsidRPr="00822444" w:rsidRDefault="00822444" w:rsidP="00822444">
            <w:pPr>
              <w:pStyle w:val="Normlbalra"/>
              <w:rPr>
                <w:highlight w:val="yellow"/>
              </w:rPr>
            </w:pPr>
            <w:proofErr w:type="spellStart"/>
            <w:r w:rsidRPr="00822444">
              <w:rPr>
                <w:rStyle w:val="Finomkiemels"/>
                <w:i w:val="0"/>
                <w:color w:val="auto"/>
                <w:highlight w:val="yellow"/>
              </w:rPr>
              <w:t>Normál</w:t>
            </w:r>
            <w:proofErr w:type="spellEnd"/>
            <w:r w:rsidRPr="00822444">
              <w:rPr>
                <w:rStyle w:val="Finomkiemels"/>
                <w:i w:val="0"/>
                <w:color w:val="auto"/>
                <w:highlight w:val="yellow"/>
              </w:rPr>
              <w:t xml:space="preserve"> </w:t>
            </w:r>
            <w:proofErr w:type="spellStart"/>
            <w:r w:rsidRPr="00822444">
              <w:rPr>
                <w:rStyle w:val="Finomkiemels"/>
                <w:i w:val="0"/>
                <w:color w:val="auto"/>
                <w:highlight w:val="yellow"/>
              </w:rPr>
              <w:t>ár</w:t>
            </w:r>
            <w:proofErr w:type="spellEnd"/>
            <w:r w:rsidRPr="00822444">
              <w:rPr>
                <w:highlight w:val="yellow"/>
              </w:rPr>
              <w:t xml:space="preserve"> / </w:t>
            </w:r>
          </w:p>
          <w:p w:rsidR="001529F0" w:rsidRPr="00822444" w:rsidRDefault="00822444" w:rsidP="00822444">
            <w:pPr>
              <w:pStyle w:val="Normlbalra"/>
              <w:rPr>
                <w:highlight w:val="yellow"/>
              </w:rPr>
            </w:pPr>
            <w:r w:rsidRPr="00822444">
              <w:rPr>
                <w:highlight w:val="yellow"/>
              </w:rPr>
              <w:t>Regular price</w:t>
            </w:r>
          </w:p>
        </w:tc>
        <w:tc>
          <w:tcPr>
            <w:tcW w:w="3554" w:type="dxa"/>
            <w:tcBorders>
              <w:top w:val="single" w:sz="4" w:space="0" w:color="auto"/>
              <w:left w:val="single" w:sz="4" w:space="0" w:color="auto"/>
              <w:bottom w:val="single" w:sz="4" w:space="0" w:color="auto"/>
              <w:right w:val="single" w:sz="4" w:space="0" w:color="auto"/>
            </w:tcBorders>
          </w:tcPr>
          <w:p w:rsidR="001529F0" w:rsidRPr="00822444" w:rsidRDefault="001529F0" w:rsidP="00EF5B97">
            <w:pPr>
              <w:pStyle w:val="Normlbalra"/>
              <w:rPr>
                <w:highlight w:val="yellow"/>
              </w:rPr>
            </w:pPr>
            <w:r w:rsidRPr="00822444">
              <w:rPr>
                <w:highlight w:val="yellow"/>
              </w:rPr>
              <w:t xml:space="preserve">600 € + </w:t>
            </w:r>
            <w:r w:rsidR="00822444" w:rsidRPr="00822444">
              <w:rPr>
                <w:highlight w:val="yellow"/>
              </w:rPr>
              <w:t>ÁFA</w:t>
            </w:r>
            <w:r w:rsidRPr="00822444">
              <w:rPr>
                <w:highlight w:val="yellow"/>
              </w:rPr>
              <w:t xml:space="preserve"> / </w:t>
            </w:r>
            <w:proofErr w:type="spellStart"/>
            <w:r w:rsidR="00822444" w:rsidRPr="00822444">
              <w:rPr>
                <w:highlight w:val="yellow"/>
              </w:rPr>
              <w:t>résztvevő</w:t>
            </w:r>
            <w:proofErr w:type="spellEnd"/>
            <w:r w:rsidRPr="00822444">
              <w:rPr>
                <w:highlight w:val="yellow"/>
              </w:rPr>
              <w:t xml:space="preserve"> </w:t>
            </w:r>
          </w:p>
          <w:p w:rsidR="001529F0" w:rsidRPr="00822444" w:rsidRDefault="00822444" w:rsidP="00822444">
            <w:pPr>
              <w:pStyle w:val="Normlbalra"/>
              <w:rPr>
                <w:highlight w:val="yellow"/>
              </w:rPr>
            </w:pPr>
            <w:r w:rsidRPr="00822444">
              <w:rPr>
                <w:rStyle w:val="Finomkiemels"/>
                <w:i w:val="0"/>
                <w:color w:val="auto"/>
                <w:highlight w:val="yellow"/>
              </w:rPr>
              <w:t>600 € + VAT</w:t>
            </w:r>
            <w:r w:rsidR="001529F0" w:rsidRPr="00822444">
              <w:rPr>
                <w:rStyle w:val="Finomkiemels"/>
                <w:i w:val="0"/>
                <w:color w:val="auto"/>
                <w:highlight w:val="yellow"/>
              </w:rPr>
              <w:t xml:space="preserve"> / </w:t>
            </w:r>
            <w:r w:rsidRPr="00822444">
              <w:rPr>
                <w:rStyle w:val="Finomkiemels"/>
                <w:i w:val="0"/>
                <w:color w:val="auto"/>
                <w:highlight w:val="yellow"/>
              </w:rPr>
              <w:t>participant</w:t>
            </w:r>
          </w:p>
        </w:tc>
      </w:tr>
    </w:tbl>
    <w:p w:rsidR="001529F0" w:rsidRPr="00822444" w:rsidRDefault="001529F0" w:rsidP="001529F0">
      <w:pPr>
        <w:rPr>
          <w:highlight w:val="yellow"/>
        </w:rPr>
      </w:pPr>
    </w:p>
    <w:p w:rsidR="00822444" w:rsidRPr="00822444" w:rsidRDefault="00822444" w:rsidP="00822444">
      <w:pPr>
        <w:rPr>
          <w:rStyle w:val="Finomkiemels"/>
          <w:i w:val="0"/>
          <w:color w:val="auto"/>
          <w:highlight w:val="yellow"/>
        </w:rPr>
      </w:pPr>
      <w:r w:rsidRPr="00822444">
        <w:rPr>
          <w:rStyle w:val="Finomkiemels"/>
          <w:i w:val="0"/>
          <w:color w:val="auto"/>
          <w:highlight w:val="yellow"/>
        </w:rPr>
        <w:t xml:space="preserve">Online </w:t>
      </w:r>
      <w:proofErr w:type="spellStart"/>
      <w:r w:rsidRPr="00822444">
        <w:rPr>
          <w:rStyle w:val="Finomkiemels"/>
          <w:i w:val="0"/>
          <w:color w:val="auto"/>
          <w:highlight w:val="yellow"/>
        </w:rPr>
        <w:t>kereskedői</w:t>
      </w:r>
      <w:proofErr w:type="spellEnd"/>
      <w:r w:rsidRPr="00822444">
        <w:rPr>
          <w:rStyle w:val="Finomkiemels"/>
          <w:i w:val="0"/>
          <w:color w:val="auto"/>
          <w:highlight w:val="yellow"/>
        </w:rPr>
        <w:t xml:space="preserve"> </w:t>
      </w:r>
      <w:proofErr w:type="spellStart"/>
      <w:r w:rsidRPr="00822444">
        <w:rPr>
          <w:rStyle w:val="Finomkiemels"/>
          <w:i w:val="0"/>
          <w:color w:val="auto"/>
          <w:highlight w:val="yellow"/>
        </w:rPr>
        <w:t>oktatás</w:t>
      </w:r>
      <w:proofErr w:type="spellEnd"/>
      <w:r w:rsidRPr="00822444">
        <w:rPr>
          <w:rStyle w:val="Finomkiemels"/>
          <w:i w:val="0"/>
          <w:color w:val="auto"/>
          <w:highlight w:val="yellow"/>
        </w:rPr>
        <w:t xml:space="preserve"> </w:t>
      </w:r>
      <w:proofErr w:type="spellStart"/>
      <w:r w:rsidRPr="00822444">
        <w:rPr>
          <w:rStyle w:val="Finomkiemels"/>
          <w:i w:val="0"/>
          <w:color w:val="auto"/>
          <w:highlight w:val="yellow"/>
        </w:rPr>
        <w:t>és</w:t>
      </w:r>
      <w:proofErr w:type="spellEnd"/>
      <w:r w:rsidRPr="00822444">
        <w:rPr>
          <w:rStyle w:val="Finomkiemels"/>
          <w:i w:val="0"/>
          <w:color w:val="auto"/>
          <w:highlight w:val="yellow"/>
        </w:rPr>
        <w:t xml:space="preserve"> </w:t>
      </w:r>
      <w:proofErr w:type="spellStart"/>
      <w:r w:rsidRPr="00822444">
        <w:rPr>
          <w:rStyle w:val="Finomkiemels"/>
          <w:i w:val="0"/>
          <w:color w:val="auto"/>
          <w:highlight w:val="yellow"/>
        </w:rPr>
        <w:t>vizsga</w:t>
      </w:r>
      <w:proofErr w:type="spellEnd"/>
      <w:r w:rsidRPr="00822444">
        <w:rPr>
          <w:rStyle w:val="Finomkiemels"/>
          <w:i w:val="0"/>
          <w:color w:val="auto"/>
          <w:highlight w:val="yellow"/>
        </w:rPr>
        <w:t xml:space="preserve"> </w:t>
      </w:r>
      <w:proofErr w:type="spellStart"/>
      <w:r w:rsidRPr="00822444">
        <w:rPr>
          <w:rStyle w:val="Finomkiemels"/>
          <w:i w:val="0"/>
          <w:color w:val="auto"/>
          <w:highlight w:val="yellow"/>
        </w:rPr>
        <w:t>esetén</w:t>
      </w:r>
      <w:proofErr w:type="spellEnd"/>
      <w:r w:rsidRPr="00822444">
        <w:rPr>
          <w:rStyle w:val="Finomkiemels"/>
          <w:i w:val="0"/>
          <w:color w:val="auto"/>
          <w:highlight w:val="yellow"/>
        </w:rPr>
        <w:t xml:space="preserve"> </w:t>
      </w:r>
      <w:proofErr w:type="spellStart"/>
      <w:r w:rsidRPr="00822444">
        <w:rPr>
          <w:rStyle w:val="Finomkiemels"/>
          <w:i w:val="0"/>
          <w:color w:val="auto"/>
          <w:highlight w:val="yellow"/>
        </w:rPr>
        <w:t>nincs</w:t>
      </w:r>
      <w:proofErr w:type="spellEnd"/>
      <w:r w:rsidRPr="00822444">
        <w:rPr>
          <w:rStyle w:val="Finomkiemels"/>
          <w:i w:val="0"/>
          <w:color w:val="auto"/>
          <w:highlight w:val="yellow"/>
        </w:rPr>
        <w:t xml:space="preserve"> </w:t>
      </w:r>
      <w:proofErr w:type="spellStart"/>
      <w:r w:rsidRPr="00822444">
        <w:rPr>
          <w:rStyle w:val="Finomkiemels"/>
          <w:i w:val="0"/>
          <w:color w:val="auto"/>
          <w:highlight w:val="yellow"/>
        </w:rPr>
        <w:t>lehetőség</w:t>
      </w:r>
      <w:proofErr w:type="spellEnd"/>
      <w:r w:rsidRPr="00822444">
        <w:rPr>
          <w:rStyle w:val="Finomkiemels"/>
          <w:i w:val="0"/>
          <w:color w:val="auto"/>
          <w:highlight w:val="yellow"/>
        </w:rPr>
        <w:t xml:space="preserve"> </w:t>
      </w:r>
      <w:proofErr w:type="spellStart"/>
      <w:r w:rsidRPr="00822444">
        <w:rPr>
          <w:rStyle w:val="Finomkiemels"/>
          <w:i w:val="0"/>
          <w:color w:val="auto"/>
          <w:highlight w:val="yellow"/>
        </w:rPr>
        <w:t>külön</w:t>
      </w:r>
      <w:proofErr w:type="spellEnd"/>
      <w:r w:rsidRPr="00822444">
        <w:rPr>
          <w:rStyle w:val="Finomkiemels"/>
          <w:i w:val="0"/>
          <w:color w:val="auto"/>
          <w:highlight w:val="yellow"/>
        </w:rPr>
        <w:t xml:space="preserve"> </w:t>
      </w:r>
      <w:proofErr w:type="spellStart"/>
      <w:r w:rsidRPr="00822444">
        <w:rPr>
          <w:rStyle w:val="Finomkiemels"/>
          <w:i w:val="0"/>
          <w:color w:val="auto"/>
          <w:highlight w:val="yellow"/>
        </w:rPr>
        <w:t>oktatásra</w:t>
      </w:r>
      <w:proofErr w:type="spellEnd"/>
      <w:r w:rsidRPr="00822444">
        <w:rPr>
          <w:rStyle w:val="Finomkiemels"/>
          <w:i w:val="0"/>
          <w:color w:val="auto"/>
          <w:highlight w:val="yellow"/>
        </w:rPr>
        <w:t xml:space="preserve"> </w:t>
      </w:r>
      <w:proofErr w:type="spellStart"/>
      <w:r w:rsidRPr="00822444">
        <w:rPr>
          <w:rStyle w:val="Finomkiemels"/>
          <w:i w:val="0"/>
          <w:color w:val="auto"/>
          <w:highlight w:val="yellow"/>
        </w:rPr>
        <w:t>vagy</w:t>
      </w:r>
      <w:proofErr w:type="spellEnd"/>
      <w:r w:rsidRPr="00822444">
        <w:rPr>
          <w:rStyle w:val="Finomkiemels"/>
          <w:i w:val="0"/>
          <w:color w:val="auto"/>
          <w:highlight w:val="yellow"/>
        </w:rPr>
        <w:t xml:space="preserve"> </w:t>
      </w:r>
      <w:proofErr w:type="spellStart"/>
      <w:r w:rsidRPr="00822444">
        <w:rPr>
          <w:rStyle w:val="Finomkiemels"/>
          <w:i w:val="0"/>
          <w:color w:val="auto"/>
          <w:highlight w:val="yellow"/>
        </w:rPr>
        <w:t>külön</w:t>
      </w:r>
      <w:proofErr w:type="spellEnd"/>
      <w:r w:rsidRPr="00822444">
        <w:rPr>
          <w:rStyle w:val="Finomkiemels"/>
          <w:i w:val="0"/>
          <w:color w:val="auto"/>
          <w:highlight w:val="yellow"/>
        </w:rPr>
        <w:t xml:space="preserve"> </w:t>
      </w:r>
      <w:proofErr w:type="spellStart"/>
      <w:r w:rsidRPr="00822444">
        <w:rPr>
          <w:rStyle w:val="Finomkiemels"/>
          <w:i w:val="0"/>
          <w:color w:val="auto"/>
          <w:highlight w:val="yellow"/>
        </w:rPr>
        <w:t>vizsgára</w:t>
      </w:r>
      <w:proofErr w:type="spellEnd"/>
      <w:r w:rsidRPr="00822444">
        <w:rPr>
          <w:rStyle w:val="Finomkiemels"/>
          <w:i w:val="0"/>
          <w:color w:val="auto"/>
          <w:highlight w:val="yellow"/>
        </w:rPr>
        <w:t xml:space="preserve"> </w:t>
      </w:r>
      <w:proofErr w:type="spellStart"/>
      <w:r w:rsidRPr="00822444">
        <w:rPr>
          <w:rStyle w:val="Finomkiemels"/>
          <w:i w:val="0"/>
          <w:color w:val="auto"/>
          <w:highlight w:val="yellow"/>
        </w:rPr>
        <w:t>jelentkezni</w:t>
      </w:r>
      <w:proofErr w:type="spellEnd"/>
      <w:r w:rsidRPr="00822444">
        <w:rPr>
          <w:rStyle w:val="Finomkiemels"/>
          <w:i w:val="0"/>
          <w:color w:val="auto"/>
          <w:highlight w:val="yellow"/>
        </w:rPr>
        <w:t>.</w:t>
      </w:r>
    </w:p>
    <w:p w:rsidR="00822444" w:rsidRPr="00822444" w:rsidRDefault="00822444" w:rsidP="00822444">
      <w:pPr>
        <w:rPr>
          <w:i/>
        </w:rPr>
      </w:pPr>
      <w:proofErr w:type="spellStart"/>
      <w:r w:rsidRPr="00822444">
        <w:rPr>
          <w:rStyle w:val="Finomkiemels"/>
          <w:i w:val="0"/>
          <w:color w:val="auto"/>
          <w:highlight w:val="yellow"/>
        </w:rPr>
        <w:t>További</w:t>
      </w:r>
      <w:proofErr w:type="spellEnd"/>
      <w:r w:rsidRPr="00822444">
        <w:rPr>
          <w:rStyle w:val="Finomkiemels"/>
          <w:i w:val="0"/>
          <w:color w:val="auto"/>
          <w:highlight w:val="yellow"/>
        </w:rPr>
        <w:t xml:space="preserve"> </w:t>
      </w:r>
      <w:proofErr w:type="spellStart"/>
      <w:r w:rsidRPr="00822444">
        <w:rPr>
          <w:rStyle w:val="Finomkiemels"/>
          <w:i w:val="0"/>
          <w:color w:val="auto"/>
          <w:highlight w:val="yellow"/>
        </w:rPr>
        <w:t>információt</w:t>
      </w:r>
      <w:proofErr w:type="spellEnd"/>
      <w:r w:rsidRPr="00822444">
        <w:rPr>
          <w:rStyle w:val="Finomkiemels"/>
          <w:i w:val="0"/>
          <w:color w:val="auto"/>
          <w:highlight w:val="yellow"/>
        </w:rPr>
        <w:t xml:space="preserve"> a </w:t>
      </w:r>
      <w:proofErr w:type="spellStart"/>
      <w:r w:rsidRPr="00822444">
        <w:rPr>
          <w:rStyle w:val="Finomkiemels"/>
          <w:i w:val="0"/>
          <w:color w:val="auto"/>
          <w:highlight w:val="yellow"/>
        </w:rPr>
        <w:t>honlapunkon</w:t>
      </w:r>
      <w:proofErr w:type="spellEnd"/>
      <w:r w:rsidRPr="00822444">
        <w:rPr>
          <w:rStyle w:val="Finomkiemels"/>
          <w:i w:val="0"/>
          <w:color w:val="auto"/>
          <w:highlight w:val="yellow"/>
        </w:rPr>
        <w:t xml:space="preserve"> </w:t>
      </w:r>
      <w:proofErr w:type="spellStart"/>
      <w:r w:rsidRPr="00822444">
        <w:rPr>
          <w:rStyle w:val="Finomkiemels"/>
          <w:i w:val="0"/>
          <w:color w:val="auto"/>
          <w:highlight w:val="yellow"/>
        </w:rPr>
        <w:t>találnak</w:t>
      </w:r>
      <w:proofErr w:type="spellEnd"/>
      <w:r w:rsidRPr="00822444">
        <w:rPr>
          <w:rStyle w:val="Finomkiemels"/>
          <w:i w:val="0"/>
          <w:color w:val="auto"/>
          <w:highlight w:val="yellow"/>
        </w:rPr>
        <w:t>.</w:t>
      </w:r>
      <w:r w:rsidRPr="00822444">
        <w:rPr>
          <w:i/>
        </w:rPr>
        <w:t xml:space="preserve"> </w:t>
      </w:r>
    </w:p>
    <w:p w:rsidR="001529F0" w:rsidRPr="00822444" w:rsidRDefault="001529F0" w:rsidP="001529F0">
      <w:pPr>
        <w:rPr>
          <w:i/>
          <w:highlight w:val="yellow"/>
        </w:rPr>
      </w:pPr>
      <w:r w:rsidRPr="00822444">
        <w:rPr>
          <w:i/>
          <w:highlight w:val="yellow"/>
        </w:rPr>
        <w:t>In case of online training and exam there is no option to apply for training or exam separately.</w:t>
      </w:r>
    </w:p>
    <w:p w:rsidR="001529F0" w:rsidRPr="00822444" w:rsidRDefault="001529F0" w:rsidP="001529F0">
      <w:pPr>
        <w:rPr>
          <w:i/>
          <w:highlight w:val="yellow"/>
        </w:rPr>
      </w:pPr>
      <w:r w:rsidRPr="00822444">
        <w:rPr>
          <w:i/>
          <w:highlight w:val="yellow"/>
        </w:rPr>
        <w:t xml:space="preserve">Further information can be found on our website. </w:t>
      </w:r>
    </w:p>
    <w:p w:rsidR="001529F0" w:rsidRDefault="001529F0" w:rsidP="001529F0"/>
    <w:p w:rsidR="001529F0" w:rsidRDefault="001529F0" w:rsidP="009A3452"/>
    <w:sectPr w:rsidR="001529F0" w:rsidSect="00AD1B1C">
      <w:headerReference w:type="default" r:id="rId12"/>
      <w:footerReference w:type="default" r:id="rId13"/>
      <w:pgSz w:w="11906" w:h="16838"/>
      <w:pgMar w:top="1417" w:right="1417" w:bottom="1417" w:left="1417" w:header="567"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8EF" w:rsidRDefault="00ED78EF">
      <w:r>
        <w:separator/>
      </w:r>
    </w:p>
  </w:endnote>
  <w:endnote w:type="continuationSeparator" w:id="0">
    <w:p w:rsidR="00ED78EF" w:rsidRDefault="00ED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BC" w:rsidRPr="00D33633" w:rsidRDefault="007C2DBC" w:rsidP="00D33633">
    <w:pPr>
      <w:pStyle w:val="llb"/>
      <w:pBdr>
        <w:top w:val="none" w:sz="0" w:space="0" w:color="auto"/>
      </w:pBdr>
      <w:rPr>
        <w:lang w:val="hu-H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8216"/>
      <w:docPartObj>
        <w:docPartGallery w:val="Page Numbers (Bottom of Page)"/>
        <w:docPartUnique/>
      </w:docPartObj>
    </w:sdtPr>
    <w:sdtEndPr/>
    <w:sdtContent>
      <w:p w:rsidR="007C2DBC" w:rsidRDefault="007C2DBC" w:rsidP="00D33633">
        <w:pPr>
          <w:pStyle w:val="llb"/>
          <w:jc w:val="center"/>
        </w:pPr>
        <w:r>
          <w:rPr>
            <w:noProof/>
            <w:lang w:val="hu-HU"/>
          </w:rPr>
          <w:drawing>
            <wp:anchor distT="0" distB="0" distL="114300" distR="114300" simplePos="0" relativeHeight="251693568" behindDoc="1" locked="1" layoutInCell="0" allowOverlap="1" wp14:anchorId="088BCE09" wp14:editId="766BDCF9">
              <wp:simplePos x="0" y="0"/>
              <wp:positionH relativeFrom="page">
                <wp:align>left</wp:align>
              </wp:positionH>
              <wp:positionV relativeFrom="page">
                <wp:align>bottom</wp:align>
              </wp:positionV>
              <wp:extent cx="3171825" cy="4381500"/>
              <wp:effectExtent l="19050" t="0" r="9525" b="0"/>
              <wp:wrapNone/>
              <wp:docPr id="10" name="Kép 10" descr="word_bg_ny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_bg_nyil"/>
                      <pic:cNvPicPr>
                        <a:picLocks noChangeAspect="1" noChangeArrowheads="1"/>
                      </pic:cNvPicPr>
                    </pic:nvPicPr>
                    <pic:blipFill>
                      <a:blip r:embed="rId1"/>
                      <a:srcRect/>
                      <a:stretch>
                        <a:fillRect/>
                      </a:stretch>
                    </pic:blipFill>
                    <pic:spPr bwMode="auto">
                      <a:xfrm>
                        <a:off x="0" y="0"/>
                        <a:ext cx="3171825" cy="4381500"/>
                      </a:xfrm>
                      <a:prstGeom prst="rect">
                        <a:avLst/>
                      </a:prstGeom>
                      <a:noFill/>
                      <a:ln w="9525">
                        <a:noFill/>
                        <a:miter lim="800000"/>
                        <a:headEnd/>
                        <a:tailEnd/>
                      </a:ln>
                    </pic:spPr>
                  </pic:pic>
                </a:graphicData>
              </a:graphic>
            </wp:anchor>
          </w:drawing>
        </w:r>
        <w:r>
          <w:tab/>
        </w:r>
        <w:r w:rsidRPr="00D33633">
          <w:rPr>
            <w:i w:val="0"/>
          </w:rPr>
          <w:t xml:space="preserve">HUPX </w:t>
        </w:r>
        <w:r w:rsidRPr="007C2DBC">
          <w:rPr>
            <w:i w:val="0"/>
            <w:lang w:val="hu-HU"/>
          </w:rPr>
          <w:t>Piaci Hirdetmény</w:t>
        </w:r>
        <w:r w:rsidRPr="007C2DBC">
          <w:rPr>
            <w:lang w:val="hu-HU"/>
          </w:rPr>
          <w:t xml:space="preserve"> </w:t>
        </w:r>
        <w:r>
          <w:t>/ HUPX Market Notice</w:t>
        </w:r>
        <w:r>
          <w:tab/>
        </w:r>
        <w:r w:rsidR="00FE4796">
          <w:fldChar w:fldCharType="begin"/>
        </w:r>
        <w:r w:rsidR="00FE4796">
          <w:instrText xml:space="preserve"> PAGE   \* MERGEFORMAT </w:instrText>
        </w:r>
        <w:r w:rsidR="00FE4796">
          <w:fldChar w:fldCharType="separate"/>
        </w:r>
        <w:r w:rsidR="00A25F7D">
          <w:rPr>
            <w:noProof/>
          </w:rPr>
          <w:t>5</w:t>
        </w:r>
        <w:r w:rsidR="00FE4796">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8EF" w:rsidRDefault="00ED78EF">
      <w:r>
        <w:separator/>
      </w:r>
    </w:p>
  </w:footnote>
  <w:footnote w:type="continuationSeparator" w:id="0">
    <w:p w:rsidR="00ED78EF" w:rsidRDefault="00ED7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BC" w:rsidRDefault="00A25F7D">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04152" o:spid="_x0000_s2052" type="#_x0000_t136" style="position:absolute;left:0;text-align:left;margin-left:0;margin-top:0;width:456.8pt;height:182.7pt;rotation:315;z-index:-25165056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297x210_5_hupx_word_template_all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BC" w:rsidRDefault="007C2DBC">
    <w:pPr>
      <w:pStyle w:val="lfej"/>
    </w:pPr>
    <w:r w:rsidRPr="005E0E03">
      <w:rPr>
        <w:noProof/>
        <w:lang w:val="hu-HU"/>
      </w:rPr>
      <w:drawing>
        <wp:anchor distT="0" distB="0" distL="114300" distR="114300" simplePos="0" relativeHeight="251680256" behindDoc="0" locked="0" layoutInCell="1" allowOverlap="1">
          <wp:simplePos x="0" y="0"/>
          <wp:positionH relativeFrom="column">
            <wp:posOffset>-345907</wp:posOffset>
          </wp:positionH>
          <wp:positionV relativeFrom="paragraph">
            <wp:posOffset>-104523</wp:posOffset>
          </wp:positionV>
          <wp:extent cx="2524844" cy="759124"/>
          <wp:effectExtent l="19050" t="0" r="9525" b="0"/>
          <wp:wrapNone/>
          <wp:docPr id="3" name="Kép 3" descr="hupx_logo_szlogennelk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hupx_logo_szlogennelkul"/>
                  <pic:cNvPicPr>
                    <a:picLocks noChangeAspect="1" noChangeArrowheads="1"/>
                  </pic:cNvPicPr>
                </pic:nvPicPr>
                <pic:blipFill>
                  <a:blip r:embed="rId1"/>
                  <a:srcRect/>
                  <a:stretch>
                    <a:fillRect/>
                  </a:stretch>
                </pic:blipFill>
                <pic:spPr bwMode="auto">
                  <a:xfrm>
                    <a:off x="0" y="0"/>
                    <a:ext cx="2524125" cy="7620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BC" w:rsidRDefault="00A25F7D">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604151" o:spid="_x0000_s2051" type="#_x0000_t136" style="position:absolute;left:0;text-align:left;margin-left:0;margin-top:0;width:456.8pt;height:182.7pt;rotation:315;z-index:-25165260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595.2pt;height:841.7pt;z-index:-251659776;mso-position-horizontal:center;mso-position-horizontal-relative:margin;mso-position-vertical:center;mso-position-vertical-relative:margin" o:allowincell="f">
          <v:imagedata r:id="rId1" o:title="297x210_5_hupx_word_template_allo"/>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DBC" w:rsidRPr="001777C1" w:rsidRDefault="007C2DBC" w:rsidP="001777C1">
    <w:pPr>
      <w:pStyle w:val="lfej"/>
    </w:pPr>
    <w:r>
      <w:rPr>
        <w:noProof/>
        <w:lang w:val="hu-HU"/>
      </w:rPr>
      <w:drawing>
        <wp:anchor distT="0" distB="0" distL="114300" distR="114300" simplePos="0" relativeHeight="251692544" behindDoc="1" locked="1" layoutInCell="0" allowOverlap="1" wp14:anchorId="2656DEB9" wp14:editId="6DAB2710">
          <wp:simplePos x="0" y="0"/>
          <wp:positionH relativeFrom="page">
            <wp:align>right</wp:align>
          </wp:positionH>
          <wp:positionV relativeFrom="page">
            <wp:align>top</wp:align>
          </wp:positionV>
          <wp:extent cx="2314575" cy="1247775"/>
          <wp:effectExtent l="19050" t="0" r="9525" b="0"/>
          <wp:wrapNone/>
          <wp:docPr id="9" name="Kép 9" descr="word_b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_bg_logo"/>
                  <pic:cNvPicPr>
                    <a:picLocks noChangeAspect="1" noChangeArrowheads="1"/>
                  </pic:cNvPicPr>
                </pic:nvPicPr>
                <pic:blipFill>
                  <a:blip r:embed="rId1"/>
                  <a:srcRect/>
                  <a:stretch>
                    <a:fillRect/>
                  </a:stretch>
                </pic:blipFill>
                <pic:spPr bwMode="auto">
                  <a:xfrm>
                    <a:off x="0" y="0"/>
                    <a:ext cx="2314575" cy="1247775"/>
                  </a:xfrm>
                  <a:prstGeom prst="rect">
                    <a:avLst/>
                  </a:prstGeom>
                  <a:noFill/>
                  <a:ln w="9525">
                    <a:noFill/>
                    <a:miter lim="800000"/>
                    <a:headEnd/>
                    <a:tailEnd/>
                  </a:ln>
                </pic:spPr>
              </pic:pic>
            </a:graphicData>
          </a:graphic>
        </wp:anchor>
      </w:drawing>
    </w:r>
    <w:r w:rsidR="00A25F7D">
      <w:fldChar w:fldCharType="begin"/>
    </w:r>
    <w:r w:rsidR="00A25F7D">
      <w:instrText xml:space="preserve"> FILENAME   \* MERGEFORMAT </w:instrText>
    </w:r>
    <w:r w:rsidR="00A25F7D">
      <w:fldChar w:fldCharType="separate"/>
    </w:r>
    <w:r w:rsidR="003A7453">
      <w:rPr>
        <w:noProof/>
      </w:rPr>
      <w:t>HUPX-MN-DAM-2018</w:t>
    </w:r>
    <w:r w:rsidR="003A7453" w:rsidRPr="00A25F7D">
      <w:rPr>
        <w:noProof/>
      </w:rPr>
      <w:t>-</w:t>
    </w:r>
    <w:r w:rsidR="00A25F7D">
      <w:rPr>
        <w:noProof/>
      </w:rPr>
      <w:t>0010</w:t>
    </w:r>
    <w:r w:rsidR="003A7453" w:rsidRPr="00A25F7D">
      <w:rPr>
        <w:noProof/>
      </w:rPr>
      <w:t xml:space="preserve"> -</w:t>
    </w:r>
    <w:r w:rsidR="003A7453">
      <w:rPr>
        <w:noProof/>
      </w:rPr>
      <w:t xml:space="preserve"> Prices and discounts</w:t>
    </w:r>
    <w:r w:rsidR="00A25F7D">
      <w:rPr>
        <w:noProof/>
      </w:rPr>
      <w:fldChar w:fldCharType="end"/>
    </w:r>
    <w:r w:rsidR="00680CC6">
      <w:rPr>
        <w:noProof/>
        <w:lang w:val="hu-HU"/>
      </w:rPr>
      <mc:AlternateContent>
        <mc:Choice Requires="wps">
          <w:drawing>
            <wp:anchor distT="0" distB="0" distL="114300" distR="114300" simplePos="0" relativeHeight="251691520" behindDoc="0" locked="0" layoutInCell="1" allowOverlap="1" wp14:anchorId="5A067211" wp14:editId="4452EDB0">
              <wp:simplePos x="0" y="0"/>
              <wp:positionH relativeFrom="column">
                <wp:posOffset>4148455</wp:posOffset>
              </wp:positionH>
              <wp:positionV relativeFrom="paragraph">
                <wp:posOffset>370205</wp:posOffset>
              </wp:positionV>
              <wp:extent cx="2509520" cy="628650"/>
              <wp:effectExtent l="0" t="0" r="508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520" cy="6286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F9A55D3" id="Rectangle 22" o:spid="_x0000_s1026" style="position:absolute;margin-left:326.65pt;margin-top:29.15pt;width:197.6pt;height:49.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" fillcolor="white [3212]"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34.5pt" o:bullet="t">
        <v:imagedata r:id="rId1" o:title="artFCDE"/>
      </v:shape>
    </w:pict>
  </w:numPicBullet>
  <w:abstractNum w:abstractNumId="0" w15:restartNumberingAfterBreak="0">
    <w:nsid w:val="06B874E3"/>
    <w:multiLevelType w:val="hybridMultilevel"/>
    <w:tmpl w:val="D486CFB6"/>
    <w:lvl w:ilvl="0" w:tplc="133071E4">
      <w:start w:val="1"/>
      <w:numFmt w:val="bullet"/>
      <w:lvlText w:val=""/>
      <w:lvlPicBulletId w:val="0"/>
      <w:lvlJc w:val="left"/>
      <w:pPr>
        <w:tabs>
          <w:tab w:val="num" w:pos="720"/>
        </w:tabs>
        <w:ind w:left="720" w:hanging="360"/>
      </w:pPr>
      <w:rPr>
        <w:rFonts w:ascii="Symbol" w:hAnsi="Symbol" w:hint="default"/>
      </w:rPr>
    </w:lvl>
    <w:lvl w:ilvl="1" w:tplc="23A26EE4">
      <w:start w:val="3"/>
      <w:numFmt w:val="bullet"/>
      <w:lvlText w:val="•"/>
      <w:lvlJc w:val="left"/>
      <w:pPr>
        <w:ind w:left="1500" w:hanging="420"/>
      </w:pPr>
      <w:rPr>
        <w:rFonts w:ascii="Cambria" w:eastAsia="Times New Roman" w:hAnsi="Cambria" w:cs="Times New Roman" w:hint="default"/>
      </w:rPr>
    </w:lvl>
    <w:lvl w:ilvl="2" w:tplc="034CBDFE">
      <w:start w:val="1"/>
      <w:numFmt w:val="bullet"/>
      <w:pStyle w:val="Listaszerbekezds"/>
      <w:lvlText w:val=""/>
      <w:lvlPicBulletId w:val="0"/>
      <w:lvlJc w:val="left"/>
      <w:pPr>
        <w:tabs>
          <w:tab w:val="num" w:pos="502"/>
        </w:tabs>
        <w:ind w:left="502" w:hanging="360"/>
      </w:pPr>
      <w:rPr>
        <w:rFonts w:ascii="Symbol" w:hAnsi="Symbol" w:hint="default"/>
      </w:rPr>
    </w:lvl>
    <w:lvl w:ilvl="3" w:tplc="889ADC46">
      <w:start w:val="1"/>
      <w:numFmt w:val="bullet"/>
      <w:lvlText w:val=""/>
      <w:lvlPicBulletId w:val="0"/>
      <w:lvlJc w:val="left"/>
      <w:pPr>
        <w:tabs>
          <w:tab w:val="num" w:pos="2880"/>
        </w:tabs>
        <w:ind w:left="2880" w:hanging="360"/>
      </w:pPr>
      <w:rPr>
        <w:rFonts w:ascii="Symbol" w:hAnsi="Symbol" w:hint="default"/>
      </w:rPr>
    </w:lvl>
    <w:lvl w:ilvl="4" w:tplc="0C708D48" w:tentative="1">
      <w:start w:val="1"/>
      <w:numFmt w:val="bullet"/>
      <w:lvlText w:val=""/>
      <w:lvlPicBulletId w:val="0"/>
      <w:lvlJc w:val="left"/>
      <w:pPr>
        <w:tabs>
          <w:tab w:val="num" w:pos="3600"/>
        </w:tabs>
        <w:ind w:left="3600" w:hanging="360"/>
      </w:pPr>
      <w:rPr>
        <w:rFonts w:ascii="Symbol" w:hAnsi="Symbol" w:hint="default"/>
      </w:rPr>
    </w:lvl>
    <w:lvl w:ilvl="5" w:tplc="977290DC" w:tentative="1">
      <w:start w:val="1"/>
      <w:numFmt w:val="bullet"/>
      <w:lvlText w:val=""/>
      <w:lvlPicBulletId w:val="0"/>
      <w:lvlJc w:val="left"/>
      <w:pPr>
        <w:tabs>
          <w:tab w:val="num" w:pos="4320"/>
        </w:tabs>
        <w:ind w:left="4320" w:hanging="360"/>
      </w:pPr>
      <w:rPr>
        <w:rFonts w:ascii="Symbol" w:hAnsi="Symbol" w:hint="default"/>
      </w:rPr>
    </w:lvl>
    <w:lvl w:ilvl="6" w:tplc="DD9C29C0" w:tentative="1">
      <w:start w:val="1"/>
      <w:numFmt w:val="bullet"/>
      <w:lvlText w:val=""/>
      <w:lvlPicBulletId w:val="0"/>
      <w:lvlJc w:val="left"/>
      <w:pPr>
        <w:tabs>
          <w:tab w:val="num" w:pos="5040"/>
        </w:tabs>
        <w:ind w:left="5040" w:hanging="360"/>
      </w:pPr>
      <w:rPr>
        <w:rFonts w:ascii="Symbol" w:hAnsi="Symbol" w:hint="default"/>
      </w:rPr>
    </w:lvl>
    <w:lvl w:ilvl="7" w:tplc="1C007BA4" w:tentative="1">
      <w:start w:val="1"/>
      <w:numFmt w:val="bullet"/>
      <w:lvlText w:val=""/>
      <w:lvlPicBulletId w:val="0"/>
      <w:lvlJc w:val="left"/>
      <w:pPr>
        <w:tabs>
          <w:tab w:val="num" w:pos="5760"/>
        </w:tabs>
        <w:ind w:left="5760" w:hanging="360"/>
      </w:pPr>
      <w:rPr>
        <w:rFonts w:ascii="Symbol" w:hAnsi="Symbol" w:hint="default"/>
      </w:rPr>
    </w:lvl>
    <w:lvl w:ilvl="8" w:tplc="A12A4ECA"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0D1509E9"/>
    <w:multiLevelType w:val="multilevel"/>
    <w:tmpl w:val="040E0025"/>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b/>
        <w:bCs w:val="0"/>
        <w:i/>
        <w:iCs w:val="0"/>
        <w:caps w:val="0"/>
        <w:smallCaps w:val="0"/>
        <w:strike w:val="0"/>
        <w:dstrike w:val="0"/>
        <w:noProof w:val="0"/>
        <w:vanish w:val="0"/>
        <w:color w:val="000000"/>
        <w:spacing w:val="0"/>
        <w:kern w:val="0"/>
        <w:position w:val="0"/>
        <w:u w:val="none"/>
        <w:vertAlign w:val="baseline"/>
        <w:em w:val="none"/>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2" w15:restartNumberingAfterBreak="0">
    <w:nsid w:val="256D036B"/>
    <w:multiLevelType w:val="multilevel"/>
    <w:tmpl w:val="60B8F14E"/>
    <w:lvl w:ilvl="0">
      <w:start w:val="1"/>
      <w:numFmt w:val="decimal"/>
      <w:lvlText w:val="%1)"/>
      <w:lvlJc w:val="left"/>
      <w:pPr>
        <w:ind w:left="851" w:hanging="567"/>
      </w:pPr>
      <w:rPr>
        <w:rFonts w:hint="default"/>
      </w:rPr>
    </w:lvl>
    <w:lvl w:ilvl="1">
      <w:start w:val="1"/>
      <w:numFmt w:val="lowerLetter"/>
      <w:lvlText w:val="%2)"/>
      <w:lvlJc w:val="left"/>
      <w:pPr>
        <w:ind w:left="1418" w:hanging="567"/>
      </w:pPr>
      <w:rPr>
        <w:rFonts w:hint="default"/>
      </w:rPr>
    </w:lvl>
    <w:lvl w:ilvl="2">
      <w:start w:val="1"/>
      <w:numFmt w:val="bullet"/>
      <w:lvlText w:val=""/>
      <w:lvlJc w:val="left"/>
      <w:pPr>
        <w:ind w:left="1985"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3" w15:restartNumberingAfterBreak="0">
    <w:nsid w:val="2A780750"/>
    <w:multiLevelType w:val="hybridMultilevel"/>
    <w:tmpl w:val="7912176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F6613C2"/>
    <w:multiLevelType w:val="multilevel"/>
    <w:tmpl w:val="60B8F14E"/>
    <w:lvl w:ilvl="0">
      <w:start w:val="1"/>
      <w:numFmt w:val="decimal"/>
      <w:lvlText w:val="%1)"/>
      <w:lvlJc w:val="left"/>
      <w:pPr>
        <w:ind w:left="851" w:hanging="567"/>
      </w:pPr>
      <w:rPr>
        <w:rFonts w:hint="default"/>
      </w:rPr>
    </w:lvl>
    <w:lvl w:ilvl="1">
      <w:start w:val="1"/>
      <w:numFmt w:val="lowerLetter"/>
      <w:lvlText w:val="%2)"/>
      <w:lvlJc w:val="left"/>
      <w:pPr>
        <w:ind w:left="1418" w:hanging="567"/>
      </w:pPr>
      <w:rPr>
        <w:rFonts w:hint="default"/>
      </w:rPr>
    </w:lvl>
    <w:lvl w:ilvl="2">
      <w:start w:val="1"/>
      <w:numFmt w:val="bullet"/>
      <w:lvlText w:val=""/>
      <w:lvlJc w:val="left"/>
      <w:pPr>
        <w:ind w:left="1985" w:hanging="567"/>
      </w:pPr>
      <w:rPr>
        <w:rFonts w:ascii="Symbol" w:hAnsi="Symbol" w:hint="default"/>
        <w:color w:val="auto"/>
      </w:rPr>
    </w:lvl>
    <w:lvl w:ilvl="3">
      <w:start w:val="1"/>
      <w:numFmt w:val="none"/>
      <w:lvlText w:val=""/>
      <w:lvlJc w:val="left"/>
      <w:pPr>
        <w:ind w:left="0" w:firstLine="0"/>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5" w15:restartNumberingAfterBreak="0">
    <w:nsid w:val="3B06033F"/>
    <w:multiLevelType w:val="hybridMultilevel"/>
    <w:tmpl w:val="B97C77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1C74F32"/>
    <w:multiLevelType w:val="hybridMultilevel"/>
    <w:tmpl w:val="8EC83492"/>
    <w:lvl w:ilvl="0" w:tplc="6EFC163E">
      <w:start w:val="3"/>
      <w:numFmt w:val="bullet"/>
      <w:lvlText w:val=""/>
      <w:lvlJc w:val="left"/>
      <w:pPr>
        <w:ind w:left="720" w:hanging="360"/>
      </w:pPr>
      <w:rPr>
        <w:rFonts w:ascii="Symbol" w:eastAsia="Times New Roman" w:hAnsi="Symbol" w:cs="Times New Roman" w:hint="default"/>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1DB529B"/>
    <w:multiLevelType w:val="hybridMultilevel"/>
    <w:tmpl w:val="78DACE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AD40D7E"/>
    <w:multiLevelType w:val="multilevel"/>
    <w:tmpl w:val="6650A63A"/>
    <w:lvl w:ilvl="0">
      <w:start w:val="1"/>
      <w:numFmt w:val="decimal"/>
      <w:pStyle w:val="Cmsor1annex"/>
      <w:lvlText w:val="Annex %1"/>
      <w:lvlJc w:val="left"/>
      <w:pPr>
        <w:ind w:left="1701" w:hanging="1701"/>
      </w:pPr>
      <w:rPr>
        <w:rFonts w:hint="default"/>
      </w:rPr>
    </w:lvl>
    <w:lvl w:ilvl="1">
      <w:start w:val="1"/>
      <w:numFmt w:val="decimal"/>
      <w:lvlText w:val="Chapter %2"/>
      <w:lvlJc w:val="left"/>
      <w:pPr>
        <w:ind w:left="1701" w:hanging="1701"/>
      </w:pPr>
      <w:rPr>
        <w:rFonts w:hint="default"/>
      </w:rPr>
    </w:lvl>
    <w:lvl w:ilvl="2">
      <w:start w:val="1"/>
      <w:numFmt w:val="decimal"/>
      <w:lvlText w:val="Section %3"/>
      <w:lvlJc w:val="left"/>
      <w:pPr>
        <w:ind w:left="1701" w:hanging="1701"/>
      </w:pPr>
      <w:rPr>
        <w:rFonts w:hint="default"/>
      </w:rPr>
    </w:lvl>
    <w:lvl w:ilvl="3">
      <w:start w:val="1"/>
      <w:numFmt w:val="decimal"/>
      <w:lvlText w:val="Article %2.%4"/>
      <w:lvlJc w:val="left"/>
      <w:pPr>
        <w:ind w:left="851" w:hanging="85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6EF279AD"/>
    <w:multiLevelType w:val="hybridMultilevel"/>
    <w:tmpl w:val="6C6CF8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4"/>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2A"/>
    <w:rsid w:val="000008B7"/>
    <w:rsid w:val="000021E3"/>
    <w:rsid w:val="00002B61"/>
    <w:rsid w:val="0000538D"/>
    <w:rsid w:val="00031F12"/>
    <w:rsid w:val="0003308F"/>
    <w:rsid w:val="000331A0"/>
    <w:rsid w:val="000406B2"/>
    <w:rsid w:val="00047B16"/>
    <w:rsid w:val="00055311"/>
    <w:rsid w:val="000601BA"/>
    <w:rsid w:val="00061CEF"/>
    <w:rsid w:val="00070D08"/>
    <w:rsid w:val="0007358B"/>
    <w:rsid w:val="00077963"/>
    <w:rsid w:val="000A285E"/>
    <w:rsid w:val="000A5E91"/>
    <w:rsid w:val="000A61AC"/>
    <w:rsid w:val="000B1E95"/>
    <w:rsid w:val="000B5326"/>
    <w:rsid w:val="000B5D85"/>
    <w:rsid w:val="000C3036"/>
    <w:rsid w:val="000C5810"/>
    <w:rsid w:val="000C6415"/>
    <w:rsid w:val="000D30CA"/>
    <w:rsid w:val="000D4C53"/>
    <w:rsid w:val="000D6FFF"/>
    <w:rsid w:val="000E01E8"/>
    <w:rsid w:val="000E54BF"/>
    <w:rsid w:val="000E5A66"/>
    <w:rsid w:val="000F0F52"/>
    <w:rsid w:val="000F10E6"/>
    <w:rsid w:val="000F5907"/>
    <w:rsid w:val="00106C59"/>
    <w:rsid w:val="0011183C"/>
    <w:rsid w:val="00112ED5"/>
    <w:rsid w:val="00113DF2"/>
    <w:rsid w:val="00114750"/>
    <w:rsid w:val="00114A63"/>
    <w:rsid w:val="00120CB0"/>
    <w:rsid w:val="001276A6"/>
    <w:rsid w:val="0012792C"/>
    <w:rsid w:val="001304C5"/>
    <w:rsid w:val="0013111B"/>
    <w:rsid w:val="00133587"/>
    <w:rsid w:val="00137525"/>
    <w:rsid w:val="0014263B"/>
    <w:rsid w:val="001529F0"/>
    <w:rsid w:val="001541FC"/>
    <w:rsid w:val="00162ED6"/>
    <w:rsid w:val="0016776C"/>
    <w:rsid w:val="00170FB3"/>
    <w:rsid w:val="0017168D"/>
    <w:rsid w:val="001748F3"/>
    <w:rsid w:val="0017729B"/>
    <w:rsid w:val="001777C1"/>
    <w:rsid w:val="00184ADE"/>
    <w:rsid w:val="00185292"/>
    <w:rsid w:val="001A3C77"/>
    <w:rsid w:val="001A4AC6"/>
    <w:rsid w:val="001A5AC2"/>
    <w:rsid w:val="001B06A2"/>
    <w:rsid w:val="001B2212"/>
    <w:rsid w:val="001B2225"/>
    <w:rsid w:val="001B2C4D"/>
    <w:rsid w:val="001B489C"/>
    <w:rsid w:val="001B5370"/>
    <w:rsid w:val="001B547A"/>
    <w:rsid w:val="001B6C49"/>
    <w:rsid w:val="001B6EF8"/>
    <w:rsid w:val="001C1F02"/>
    <w:rsid w:val="001C2EBA"/>
    <w:rsid w:val="001D35F9"/>
    <w:rsid w:val="001D5BF0"/>
    <w:rsid w:val="001D6B31"/>
    <w:rsid w:val="001E09CF"/>
    <w:rsid w:val="001E293A"/>
    <w:rsid w:val="001F07E1"/>
    <w:rsid w:val="001F396F"/>
    <w:rsid w:val="002072B0"/>
    <w:rsid w:val="0021388E"/>
    <w:rsid w:val="0022043A"/>
    <w:rsid w:val="00220627"/>
    <w:rsid w:val="00220BDF"/>
    <w:rsid w:val="00224107"/>
    <w:rsid w:val="00226BB4"/>
    <w:rsid w:val="00230F20"/>
    <w:rsid w:val="0023642C"/>
    <w:rsid w:val="0024101A"/>
    <w:rsid w:val="002467BF"/>
    <w:rsid w:val="00246879"/>
    <w:rsid w:val="00247B31"/>
    <w:rsid w:val="00253C26"/>
    <w:rsid w:val="00256EB7"/>
    <w:rsid w:val="00257BAA"/>
    <w:rsid w:val="00265D75"/>
    <w:rsid w:val="00270D14"/>
    <w:rsid w:val="00284C4B"/>
    <w:rsid w:val="00287B50"/>
    <w:rsid w:val="002903CC"/>
    <w:rsid w:val="00291A08"/>
    <w:rsid w:val="00294A01"/>
    <w:rsid w:val="002A08A4"/>
    <w:rsid w:val="002A0F57"/>
    <w:rsid w:val="002A2A48"/>
    <w:rsid w:val="002B06A1"/>
    <w:rsid w:val="002B25C7"/>
    <w:rsid w:val="002B386E"/>
    <w:rsid w:val="002B46B1"/>
    <w:rsid w:val="002B599B"/>
    <w:rsid w:val="002B7B12"/>
    <w:rsid w:val="002C3AF5"/>
    <w:rsid w:val="002D0CA2"/>
    <w:rsid w:val="002D273B"/>
    <w:rsid w:val="002D7201"/>
    <w:rsid w:val="002E12DD"/>
    <w:rsid w:val="002E21AC"/>
    <w:rsid w:val="002E24E0"/>
    <w:rsid w:val="002E5AB2"/>
    <w:rsid w:val="002E6526"/>
    <w:rsid w:val="002E78D3"/>
    <w:rsid w:val="002F04D9"/>
    <w:rsid w:val="00300F35"/>
    <w:rsid w:val="00301669"/>
    <w:rsid w:val="003030CF"/>
    <w:rsid w:val="00303345"/>
    <w:rsid w:val="003050F3"/>
    <w:rsid w:val="0031501C"/>
    <w:rsid w:val="00316CB4"/>
    <w:rsid w:val="003357CE"/>
    <w:rsid w:val="003419F8"/>
    <w:rsid w:val="00345ED2"/>
    <w:rsid w:val="00346CC2"/>
    <w:rsid w:val="003528E3"/>
    <w:rsid w:val="00362EF8"/>
    <w:rsid w:val="00364BEB"/>
    <w:rsid w:val="003708BD"/>
    <w:rsid w:val="003724D1"/>
    <w:rsid w:val="00373E30"/>
    <w:rsid w:val="00374884"/>
    <w:rsid w:val="00377986"/>
    <w:rsid w:val="00380E7D"/>
    <w:rsid w:val="00381948"/>
    <w:rsid w:val="003917DA"/>
    <w:rsid w:val="003A2B34"/>
    <w:rsid w:val="003A2C74"/>
    <w:rsid w:val="003A5BB8"/>
    <w:rsid w:val="003A7453"/>
    <w:rsid w:val="003B3C64"/>
    <w:rsid w:val="003B45E4"/>
    <w:rsid w:val="003C0C42"/>
    <w:rsid w:val="003C4410"/>
    <w:rsid w:val="003D0103"/>
    <w:rsid w:val="003D0D1B"/>
    <w:rsid w:val="003D2ACC"/>
    <w:rsid w:val="003D2C53"/>
    <w:rsid w:val="003D7AAB"/>
    <w:rsid w:val="003E7C81"/>
    <w:rsid w:val="003F2EB3"/>
    <w:rsid w:val="00402D88"/>
    <w:rsid w:val="00403FD6"/>
    <w:rsid w:val="00405741"/>
    <w:rsid w:val="004078EA"/>
    <w:rsid w:val="004119F9"/>
    <w:rsid w:val="00411A10"/>
    <w:rsid w:val="004121DD"/>
    <w:rsid w:val="00416EC6"/>
    <w:rsid w:val="0042266C"/>
    <w:rsid w:val="00436611"/>
    <w:rsid w:val="004373AB"/>
    <w:rsid w:val="0044018F"/>
    <w:rsid w:val="00440424"/>
    <w:rsid w:val="004439E1"/>
    <w:rsid w:val="00445410"/>
    <w:rsid w:val="00465B8C"/>
    <w:rsid w:val="004666AF"/>
    <w:rsid w:val="00473BC5"/>
    <w:rsid w:val="0047520B"/>
    <w:rsid w:val="00477A48"/>
    <w:rsid w:val="00491157"/>
    <w:rsid w:val="004937B0"/>
    <w:rsid w:val="0049722A"/>
    <w:rsid w:val="004A11FC"/>
    <w:rsid w:val="004A2AB2"/>
    <w:rsid w:val="004A2FB8"/>
    <w:rsid w:val="004B7228"/>
    <w:rsid w:val="004C2BD5"/>
    <w:rsid w:val="004C5A50"/>
    <w:rsid w:val="004C78D8"/>
    <w:rsid w:val="004D43AD"/>
    <w:rsid w:val="004E083D"/>
    <w:rsid w:val="004E168A"/>
    <w:rsid w:val="004E3953"/>
    <w:rsid w:val="004E7F9A"/>
    <w:rsid w:val="004F0BB2"/>
    <w:rsid w:val="00503AEF"/>
    <w:rsid w:val="00506DF5"/>
    <w:rsid w:val="005100F1"/>
    <w:rsid w:val="00510B6A"/>
    <w:rsid w:val="00512BAC"/>
    <w:rsid w:val="00516754"/>
    <w:rsid w:val="00522C48"/>
    <w:rsid w:val="00527913"/>
    <w:rsid w:val="00530E7C"/>
    <w:rsid w:val="00531706"/>
    <w:rsid w:val="00532DEB"/>
    <w:rsid w:val="00533BE6"/>
    <w:rsid w:val="00533E3A"/>
    <w:rsid w:val="005368FB"/>
    <w:rsid w:val="00536A77"/>
    <w:rsid w:val="005674EB"/>
    <w:rsid w:val="00570151"/>
    <w:rsid w:val="00576397"/>
    <w:rsid w:val="005779A0"/>
    <w:rsid w:val="005851BB"/>
    <w:rsid w:val="00585CF0"/>
    <w:rsid w:val="0059568F"/>
    <w:rsid w:val="005A1DA3"/>
    <w:rsid w:val="005A239B"/>
    <w:rsid w:val="005A2791"/>
    <w:rsid w:val="005A4DBB"/>
    <w:rsid w:val="005A4DD2"/>
    <w:rsid w:val="005B0905"/>
    <w:rsid w:val="005B15AF"/>
    <w:rsid w:val="005B2566"/>
    <w:rsid w:val="005B6DC2"/>
    <w:rsid w:val="005C0C93"/>
    <w:rsid w:val="005D0A85"/>
    <w:rsid w:val="005D334B"/>
    <w:rsid w:val="005D6D95"/>
    <w:rsid w:val="005E0E03"/>
    <w:rsid w:val="005E3A43"/>
    <w:rsid w:val="005E5FDF"/>
    <w:rsid w:val="005F1E7D"/>
    <w:rsid w:val="005F3B5C"/>
    <w:rsid w:val="005F788A"/>
    <w:rsid w:val="00612B62"/>
    <w:rsid w:val="00624EE7"/>
    <w:rsid w:val="00634AA0"/>
    <w:rsid w:val="0063617F"/>
    <w:rsid w:val="006421DA"/>
    <w:rsid w:val="00643EB0"/>
    <w:rsid w:val="00644234"/>
    <w:rsid w:val="006468EA"/>
    <w:rsid w:val="0065000E"/>
    <w:rsid w:val="00650999"/>
    <w:rsid w:val="00652014"/>
    <w:rsid w:val="006521B0"/>
    <w:rsid w:val="006525D0"/>
    <w:rsid w:val="006526A8"/>
    <w:rsid w:val="00661111"/>
    <w:rsid w:val="00662BB4"/>
    <w:rsid w:val="00663A12"/>
    <w:rsid w:val="00670161"/>
    <w:rsid w:val="006704E3"/>
    <w:rsid w:val="00673124"/>
    <w:rsid w:val="00680B0D"/>
    <w:rsid w:val="00680CC6"/>
    <w:rsid w:val="00683061"/>
    <w:rsid w:val="00685C24"/>
    <w:rsid w:val="00686E9A"/>
    <w:rsid w:val="00687430"/>
    <w:rsid w:val="00695CCB"/>
    <w:rsid w:val="00697BBB"/>
    <w:rsid w:val="006A381E"/>
    <w:rsid w:val="006B2C74"/>
    <w:rsid w:val="006B382B"/>
    <w:rsid w:val="006B64D1"/>
    <w:rsid w:val="006C09FF"/>
    <w:rsid w:val="006C2210"/>
    <w:rsid w:val="006D0C8B"/>
    <w:rsid w:val="006D369D"/>
    <w:rsid w:val="006D448A"/>
    <w:rsid w:val="006D75AD"/>
    <w:rsid w:val="006D7675"/>
    <w:rsid w:val="006E5006"/>
    <w:rsid w:val="006E5A99"/>
    <w:rsid w:val="006E757D"/>
    <w:rsid w:val="0070599A"/>
    <w:rsid w:val="00705B12"/>
    <w:rsid w:val="00707E9D"/>
    <w:rsid w:val="0071017F"/>
    <w:rsid w:val="00710449"/>
    <w:rsid w:val="0071553B"/>
    <w:rsid w:val="007213AD"/>
    <w:rsid w:val="0072301F"/>
    <w:rsid w:val="00723774"/>
    <w:rsid w:val="00723F86"/>
    <w:rsid w:val="00740F96"/>
    <w:rsid w:val="0074606C"/>
    <w:rsid w:val="00747337"/>
    <w:rsid w:val="0075142D"/>
    <w:rsid w:val="00763D86"/>
    <w:rsid w:val="0077039D"/>
    <w:rsid w:val="0077329C"/>
    <w:rsid w:val="00773742"/>
    <w:rsid w:val="00774C51"/>
    <w:rsid w:val="00777FB0"/>
    <w:rsid w:val="00786AE4"/>
    <w:rsid w:val="007937F4"/>
    <w:rsid w:val="007A74E7"/>
    <w:rsid w:val="007B507A"/>
    <w:rsid w:val="007B75F1"/>
    <w:rsid w:val="007C2DBC"/>
    <w:rsid w:val="007C626E"/>
    <w:rsid w:val="007D1CA0"/>
    <w:rsid w:val="007D6C85"/>
    <w:rsid w:val="007E05CE"/>
    <w:rsid w:val="007E20B2"/>
    <w:rsid w:val="007E42F8"/>
    <w:rsid w:val="007E44E9"/>
    <w:rsid w:val="007E47C5"/>
    <w:rsid w:val="007E61F4"/>
    <w:rsid w:val="007E63AC"/>
    <w:rsid w:val="007F09A3"/>
    <w:rsid w:val="007F1365"/>
    <w:rsid w:val="007F2873"/>
    <w:rsid w:val="007F6229"/>
    <w:rsid w:val="00800604"/>
    <w:rsid w:val="00801CDF"/>
    <w:rsid w:val="00802DA5"/>
    <w:rsid w:val="00805EF3"/>
    <w:rsid w:val="00817494"/>
    <w:rsid w:val="00821A5D"/>
    <w:rsid w:val="00822444"/>
    <w:rsid w:val="008248C5"/>
    <w:rsid w:val="00825CBD"/>
    <w:rsid w:val="00827CDB"/>
    <w:rsid w:val="0083183E"/>
    <w:rsid w:val="00842B2A"/>
    <w:rsid w:val="00845ECB"/>
    <w:rsid w:val="00852598"/>
    <w:rsid w:val="00853E7D"/>
    <w:rsid w:val="00856913"/>
    <w:rsid w:val="00861156"/>
    <w:rsid w:val="0086750D"/>
    <w:rsid w:val="00871117"/>
    <w:rsid w:val="0087213E"/>
    <w:rsid w:val="008727E9"/>
    <w:rsid w:val="00875553"/>
    <w:rsid w:val="00875B6E"/>
    <w:rsid w:val="00880307"/>
    <w:rsid w:val="008805AB"/>
    <w:rsid w:val="0088206B"/>
    <w:rsid w:val="00883867"/>
    <w:rsid w:val="00885883"/>
    <w:rsid w:val="008910EC"/>
    <w:rsid w:val="008968AC"/>
    <w:rsid w:val="00896E2C"/>
    <w:rsid w:val="00897316"/>
    <w:rsid w:val="008A26BB"/>
    <w:rsid w:val="008A4DEE"/>
    <w:rsid w:val="008B0F04"/>
    <w:rsid w:val="008B2BFD"/>
    <w:rsid w:val="008B3A84"/>
    <w:rsid w:val="008B4656"/>
    <w:rsid w:val="008C0A63"/>
    <w:rsid w:val="008C3F9C"/>
    <w:rsid w:val="008C6B82"/>
    <w:rsid w:val="008E629A"/>
    <w:rsid w:val="008E79F9"/>
    <w:rsid w:val="009020EC"/>
    <w:rsid w:val="00907235"/>
    <w:rsid w:val="00907566"/>
    <w:rsid w:val="00913142"/>
    <w:rsid w:val="00913B7E"/>
    <w:rsid w:val="00916FF7"/>
    <w:rsid w:val="00917B88"/>
    <w:rsid w:val="00927F49"/>
    <w:rsid w:val="00932A8D"/>
    <w:rsid w:val="00937148"/>
    <w:rsid w:val="00943673"/>
    <w:rsid w:val="009466E2"/>
    <w:rsid w:val="0094793B"/>
    <w:rsid w:val="00950EC5"/>
    <w:rsid w:val="0095265F"/>
    <w:rsid w:val="00962146"/>
    <w:rsid w:val="00962E3D"/>
    <w:rsid w:val="0096609B"/>
    <w:rsid w:val="009747C0"/>
    <w:rsid w:val="00976859"/>
    <w:rsid w:val="009817E1"/>
    <w:rsid w:val="009907E1"/>
    <w:rsid w:val="00990A2A"/>
    <w:rsid w:val="00991167"/>
    <w:rsid w:val="009A1B85"/>
    <w:rsid w:val="009A2F16"/>
    <w:rsid w:val="009A3452"/>
    <w:rsid w:val="009B14D0"/>
    <w:rsid w:val="009B6D4B"/>
    <w:rsid w:val="009C1C15"/>
    <w:rsid w:val="009C2A47"/>
    <w:rsid w:val="009C72FC"/>
    <w:rsid w:val="009D1CC9"/>
    <w:rsid w:val="009E3A23"/>
    <w:rsid w:val="009E4181"/>
    <w:rsid w:val="00A005FC"/>
    <w:rsid w:val="00A019AE"/>
    <w:rsid w:val="00A05318"/>
    <w:rsid w:val="00A06DCD"/>
    <w:rsid w:val="00A074A9"/>
    <w:rsid w:val="00A1567C"/>
    <w:rsid w:val="00A21ED0"/>
    <w:rsid w:val="00A22BC2"/>
    <w:rsid w:val="00A23CE8"/>
    <w:rsid w:val="00A24070"/>
    <w:rsid w:val="00A25F7D"/>
    <w:rsid w:val="00A319A3"/>
    <w:rsid w:val="00A3397B"/>
    <w:rsid w:val="00A34E93"/>
    <w:rsid w:val="00A35393"/>
    <w:rsid w:val="00A47EDD"/>
    <w:rsid w:val="00A50185"/>
    <w:rsid w:val="00A55BEB"/>
    <w:rsid w:val="00A565C1"/>
    <w:rsid w:val="00A57B29"/>
    <w:rsid w:val="00A62434"/>
    <w:rsid w:val="00A6570A"/>
    <w:rsid w:val="00A673A7"/>
    <w:rsid w:val="00A72516"/>
    <w:rsid w:val="00A72A8B"/>
    <w:rsid w:val="00A74C46"/>
    <w:rsid w:val="00A74CD4"/>
    <w:rsid w:val="00A75728"/>
    <w:rsid w:val="00A80802"/>
    <w:rsid w:val="00A9157B"/>
    <w:rsid w:val="00A916A7"/>
    <w:rsid w:val="00A9251D"/>
    <w:rsid w:val="00A931C5"/>
    <w:rsid w:val="00A93BFB"/>
    <w:rsid w:val="00A977D5"/>
    <w:rsid w:val="00AA038A"/>
    <w:rsid w:val="00AA181A"/>
    <w:rsid w:val="00AA3FAB"/>
    <w:rsid w:val="00AB5B37"/>
    <w:rsid w:val="00AC27DE"/>
    <w:rsid w:val="00AC33C8"/>
    <w:rsid w:val="00AC35D4"/>
    <w:rsid w:val="00AC4270"/>
    <w:rsid w:val="00AC73F4"/>
    <w:rsid w:val="00AD0ED3"/>
    <w:rsid w:val="00AD1B01"/>
    <w:rsid w:val="00AD1B1C"/>
    <w:rsid w:val="00AD3886"/>
    <w:rsid w:val="00AD7D4A"/>
    <w:rsid w:val="00AE3DF6"/>
    <w:rsid w:val="00AE5EE1"/>
    <w:rsid w:val="00AE5F1C"/>
    <w:rsid w:val="00AF4B52"/>
    <w:rsid w:val="00B153A1"/>
    <w:rsid w:val="00B233B7"/>
    <w:rsid w:val="00B264D6"/>
    <w:rsid w:val="00B26C5B"/>
    <w:rsid w:val="00B308F2"/>
    <w:rsid w:val="00B31B15"/>
    <w:rsid w:val="00B32EC0"/>
    <w:rsid w:val="00B4730B"/>
    <w:rsid w:val="00B51F88"/>
    <w:rsid w:val="00B54A33"/>
    <w:rsid w:val="00B55599"/>
    <w:rsid w:val="00B63B8D"/>
    <w:rsid w:val="00B653AE"/>
    <w:rsid w:val="00B66BBE"/>
    <w:rsid w:val="00B7061C"/>
    <w:rsid w:val="00B71C25"/>
    <w:rsid w:val="00B722F6"/>
    <w:rsid w:val="00BA0431"/>
    <w:rsid w:val="00BA1E15"/>
    <w:rsid w:val="00BA4F10"/>
    <w:rsid w:val="00BB3E38"/>
    <w:rsid w:val="00BC4A27"/>
    <w:rsid w:val="00BD29D7"/>
    <w:rsid w:val="00BE151A"/>
    <w:rsid w:val="00BE268A"/>
    <w:rsid w:val="00BF0057"/>
    <w:rsid w:val="00BF0AD1"/>
    <w:rsid w:val="00BF2135"/>
    <w:rsid w:val="00BF31FA"/>
    <w:rsid w:val="00BF36FE"/>
    <w:rsid w:val="00BF3F90"/>
    <w:rsid w:val="00BF3FF0"/>
    <w:rsid w:val="00BF65EB"/>
    <w:rsid w:val="00C01945"/>
    <w:rsid w:val="00C0230B"/>
    <w:rsid w:val="00C0417B"/>
    <w:rsid w:val="00C26D55"/>
    <w:rsid w:val="00C31189"/>
    <w:rsid w:val="00C349A5"/>
    <w:rsid w:val="00C35F58"/>
    <w:rsid w:val="00C418F9"/>
    <w:rsid w:val="00C47B24"/>
    <w:rsid w:val="00C50520"/>
    <w:rsid w:val="00C57C17"/>
    <w:rsid w:val="00C60317"/>
    <w:rsid w:val="00C60BAA"/>
    <w:rsid w:val="00C61A03"/>
    <w:rsid w:val="00C62BC9"/>
    <w:rsid w:val="00C655C7"/>
    <w:rsid w:val="00C67998"/>
    <w:rsid w:val="00C72A92"/>
    <w:rsid w:val="00C77726"/>
    <w:rsid w:val="00C83744"/>
    <w:rsid w:val="00C83938"/>
    <w:rsid w:val="00C9085A"/>
    <w:rsid w:val="00C96731"/>
    <w:rsid w:val="00CA3F57"/>
    <w:rsid w:val="00CA582C"/>
    <w:rsid w:val="00CA5E73"/>
    <w:rsid w:val="00CB0508"/>
    <w:rsid w:val="00CB168A"/>
    <w:rsid w:val="00CB1D91"/>
    <w:rsid w:val="00CB4708"/>
    <w:rsid w:val="00CB56A5"/>
    <w:rsid w:val="00CB7346"/>
    <w:rsid w:val="00CC46C3"/>
    <w:rsid w:val="00CC5A8A"/>
    <w:rsid w:val="00CD09CE"/>
    <w:rsid w:val="00CD7EFF"/>
    <w:rsid w:val="00CE38DC"/>
    <w:rsid w:val="00CE502E"/>
    <w:rsid w:val="00CE6E33"/>
    <w:rsid w:val="00CF0154"/>
    <w:rsid w:val="00CF243B"/>
    <w:rsid w:val="00CF44E4"/>
    <w:rsid w:val="00CF562B"/>
    <w:rsid w:val="00CF639E"/>
    <w:rsid w:val="00D10FCC"/>
    <w:rsid w:val="00D16377"/>
    <w:rsid w:val="00D310D4"/>
    <w:rsid w:val="00D33633"/>
    <w:rsid w:val="00D36F85"/>
    <w:rsid w:val="00D47B5B"/>
    <w:rsid w:val="00D60C26"/>
    <w:rsid w:val="00D64841"/>
    <w:rsid w:val="00D657F5"/>
    <w:rsid w:val="00D66D41"/>
    <w:rsid w:val="00D71869"/>
    <w:rsid w:val="00D74272"/>
    <w:rsid w:val="00D776AC"/>
    <w:rsid w:val="00D80C81"/>
    <w:rsid w:val="00D81722"/>
    <w:rsid w:val="00D82291"/>
    <w:rsid w:val="00D8236F"/>
    <w:rsid w:val="00D850D6"/>
    <w:rsid w:val="00D85E4B"/>
    <w:rsid w:val="00D90A79"/>
    <w:rsid w:val="00D9738A"/>
    <w:rsid w:val="00DA048E"/>
    <w:rsid w:val="00DA067E"/>
    <w:rsid w:val="00DA5BA7"/>
    <w:rsid w:val="00DA6A79"/>
    <w:rsid w:val="00DA6E9B"/>
    <w:rsid w:val="00DB0931"/>
    <w:rsid w:val="00DB6896"/>
    <w:rsid w:val="00DB69B9"/>
    <w:rsid w:val="00DB780B"/>
    <w:rsid w:val="00DC5D22"/>
    <w:rsid w:val="00DC771C"/>
    <w:rsid w:val="00DD7C15"/>
    <w:rsid w:val="00DE040F"/>
    <w:rsid w:val="00DE5078"/>
    <w:rsid w:val="00DE7AA5"/>
    <w:rsid w:val="00DF55DE"/>
    <w:rsid w:val="00E0183A"/>
    <w:rsid w:val="00E102D2"/>
    <w:rsid w:val="00E1179B"/>
    <w:rsid w:val="00E11BFA"/>
    <w:rsid w:val="00E14B84"/>
    <w:rsid w:val="00E17290"/>
    <w:rsid w:val="00E208BB"/>
    <w:rsid w:val="00E254F0"/>
    <w:rsid w:val="00E31D20"/>
    <w:rsid w:val="00E35E33"/>
    <w:rsid w:val="00E360ED"/>
    <w:rsid w:val="00E4183B"/>
    <w:rsid w:val="00E419B1"/>
    <w:rsid w:val="00E44080"/>
    <w:rsid w:val="00E4624B"/>
    <w:rsid w:val="00E4645A"/>
    <w:rsid w:val="00E50CC8"/>
    <w:rsid w:val="00E53EA9"/>
    <w:rsid w:val="00E54E55"/>
    <w:rsid w:val="00E57DAA"/>
    <w:rsid w:val="00E623B1"/>
    <w:rsid w:val="00E64CBF"/>
    <w:rsid w:val="00E6508C"/>
    <w:rsid w:val="00E6616F"/>
    <w:rsid w:val="00E66342"/>
    <w:rsid w:val="00E670DD"/>
    <w:rsid w:val="00E67A9D"/>
    <w:rsid w:val="00E7028D"/>
    <w:rsid w:val="00E70669"/>
    <w:rsid w:val="00E727B6"/>
    <w:rsid w:val="00E73B16"/>
    <w:rsid w:val="00E74274"/>
    <w:rsid w:val="00E74A16"/>
    <w:rsid w:val="00E74DEA"/>
    <w:rsid w:val="00E75B20"/>
    <w:rsid w:val="00E77039"/>
    <w:rsid w:val="00E80A44"/>
    <w:rsid w:val="00E8163F"/>
    <w:rsid w:val="00E820A7"/>
    <w:rsid w:val="00E84690"/>
    <w:rsid w:val="00E9156A"/>
    <w:rsid w:val="00E915FE"/>
    <w:rsid w:val="00E968BD"/>
    <w:rsid w:val="00EA0BE8"/>
    <w:rsid w:val="00EA1270"/>
    <w:rsid w:val="00EA3E6A"/>
    <w:rsid w:val="00EA4F3C"/>
    <w:rsid w:val="00EA5AEC"/>
    <w:rsid w:val="00EB26C0"/>
    <w:rsid w:val="00EB6FE9"/>
    <w:rsid w:val="00EC1713"/>
    <w:rsid w:val="00EC7464"/>
    <w:rsid w:val="00EC778D"/>
    <w:rsid w:val="00ED2688"/>
    <w:rsid w:val="00ED2FD8"/>
    <w:rsid w:val="00ED31C9"/>
    <w:rsid w:val="00ED4B9C"/>
    <w:rsid w:val="00ED57FD"/>
    <w:rsid w:val="00ED78EF"/>
    <w:rsid w:val="00ED7E1A"/>
    <w:rsid w:val="00EE6D0A"/>
    <w:rsid w:val="00EE6DC1"/>
    <w:rsid w:val="00EF1D9C"/>
    <w:rsid w:val="00F06B69"/>
    <w:rsid w:val="00F11385"/>
    <w:rsid w:val="00F13A4A"/>
    <w:rsid w:val="00F14977"/>
    <w:rsid w:val="00F2070A"/>
    <w:rsid w:val="00F25677"/>
    <w:rsid w:val="00F25C84"/>
    <w:rsid w:val="00F3065B"/>
    <w:rsid w:val="00F31FF3"/>
    <w:rsid w:val="00F33E2A"/>
    <w:rsid w:val="00F40726"/>
    <w:rsid w:val="00F413E5"/>
    <w:rsid w:val="00F42B2B"/>
    <w:rsid w:val="00F45916"/>
    <w:rsid w:val="00F529B5"/>
    <w:rsid w:val="00F52BDE"/>
    <w:rsid w:val="00F54B78"/>
    <w:rsid w:val="00F61632"/>
    <w:rsid w:val="00F61A90"/>
    <w:rsid w:val="00F673B6"/>
    <w:rsid w:val="00F71486"/>
    <w:rsid w:val="00F73222"/>
    <w:rsid w:val="00F84D20"/>
    <w:rsid w:val="00F84D52"/>
    <w:rsid w:val="00F87A24"/>
    <w:rsid w:val="00F9049B"/>
    <w:rsid w:val="00F92A4F"/>
    <w:rsid w:val="00F9466C"/>
    <w:rsid w:val="00F95081"/>
    <w:rsid w:val="00FA2F1E"/>
    <w:rsid w:val="00FA5F28"/>
    <w:rsid w:val="00FB3192"/>
    <w:rsid w:val="00FB35AD"/>
    <w:rsid w:val="00FC0BE1"/>
    <w:rsid w:val="00FC22DC"/>
    <w:rsid w:val="00FC5CE7"/>
    <w:rsid w:val="00FD7001"/>
    <w:rsid w:val="00FE4796"/>
    <w:rsid w:val="00FF28D6"/>
    <w:rsid w:val="00FF3F8E"/>
    <w:rsid w:val="00FF4DFE"/>
    <w:rsid w:val="00FF5DFF"/>
    <w:rsid w:val="00FF6A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07AED921-4FE4-4FB4-BF68-B57292B5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931C5"/>
    <w:pPr>
      <w:spacing w:before="120" w:line="288" w:lineRule="auto"/>
      <w:jc w:val="both"/>
    </w:pPr>
    <w:rPr>
      <w:rFonts w:ascii="Arial" w:hAnsi="Arial"/>
      <w:sz w:val="22"/>
      <w:szCs w:val="24"/>
      <w:lang w:val="en-US"/>
    </w:rPr>
  </w:style>
  <w:style w:type="paragraph" w:styleId="Cmsor1">
    <w:name w:val="heading 1"/>
    <w:basedOn w:val="Norml"/>
    <w:next w:val="Norml"/>
    <w:link w:val="Cmsor1Char"/>
    <w:qFormat/>
    <w:rsid w:val="005851BB"/>
    <w:pPr>
      <w:keepNext/>
      <w:keepLines/>
      <w:pageBreakBefore/>
      <w:numPr>
        <w:numId w:val="19"/>
      </w:numPr>
      <w:pBdr>
        <w:top w:val="single" w:sz="12" w:space="2" w:color="A6A6A6" w:themeColor="background1" w:themeShade="A6"/>
        <w:left w:val="single" w:sz="12" w:space="4" w:color="A6A6A6" w:themeColor="background1" w:themeShade="A6"/>
        <w:bottom w:val="single" w:sz="12" w:space="2" w:color="A6A6A6" w:themeColor="background1" w:themeShade="A6"/>
        <w:right w:val="single" w:sz="12" w:space="4" w:color="A6A6A6" w:themeColor="background1" w:themeShade="A6"/>
      </w:pBdr>
      <w:shd w:val="clear" w:color="auto" w:fill="D9D9D9" w:themeFill="background1" w:themeFillShade="D9"/>
      <w:spacing w:before="480"/>
      <w:outlineLvl w:val="0"/>
    </w:pPr>
    <w:rPr>
      <w:rFonts w:eastAsiaTheme="majorEastAsia" w:cstheme="majorBidi"/>
      <w:b/>
      <w:bCs/>
      <w:color w:val="0091AE"/>
      <w:sz w:val="28"/>
      <w:szCs w:val="28"/>
    </w:rPr>
  </w:style>
  <w:style w:type="paragraph" w:styleId="Cmsor2">
    <w:name w:val="heading 2"/>
    <w:basedOn w:val="Norml"/>
    <w:next w:val="Norml"/>
    <w:link w:val="Cmsor2Char"/>
    <w:unhideWhenUsed/>
    <w:qFormat/>
    <w:rsid w:val="005851BB"/>
    <w:pPr>
      <w:keepNext/>
      <w:keepLines/>
      <w:numPr>
        <w:ilvl w:val="1"/>
        <w:numId w:val="19"/>
      </w:numPr>
      <w:spacing w:before="200"/>
      <w:outlineLvl w:val="1"/>
    </w:pPr>
    <w:rPr>
      <w:rFonts w:eastAsiaTheme="majorEastAsia" w:cstheme="majorBidi"/>
      <w:b/>
      <w:bCs/>
      <w:color w:val="0091AE"/>
      <w:sz w:val="26"/>
      <w:szCs w:val="26"/>
    </w:rPr>
  </w:style>
  <w:style w:type="paragraph" w:styleId="Cmsor3">
    <w:name w:val="heading 3"/>
    <w:basedOn w:val="Norml"/>
    <w:next w:val="Norml"/>
    <w:link w:val="Cmsor3Char"/>
    <w:unhideWhenUsed/>
    <w:qFormat/>
    <w:rsid w:val="005851BB"/>
    <w:pPr>
      <w:keepNext/>
      <w:keepLines/>
      <w:numPr>
        <w:ilvl w:val="2"/>
        <w:numId w:val="19"/>
      </w:numPr>
      <w:spacing w:before="200"/>
      <w:outlineLvl w:val="2"/>
    </w:pPr>
    <w:rPr>
      <w:rFonts w:eastAsiaTheme="majorEastAsia" w:cstheme="majorBidi"/>
      <w:b/>
      <w:bCs/>
      <w:color w:val="0091AE"/>
    </w:rPr>
  </w:style>
  <w:style w:type="paragraph" w:styleId="Cmsor4">
    <w:name w:val="heading 4"/>
    <w:basedOn w:val="Norml"/>
    <w:next w:val="Norml"/>
    <w:link w:val="Cmsor4Char"/>
    <w:unhideWhenUsed/>
    <w:qFormat/>
    <w:rsid w:val="005851BB"/>
    <w:pPr>
      <w:keepNext/>
      <w:keepLines/>
      <w:numPr>
        <w:ilvl w:val="3"/>
        <w:numId w:val="19"/>
      </w:numPr>
      <w:spacing w:before="200"/>
      <w:outlineLvl w:val="3"/>
    </w:pPr>
    <w:rPr>
      <w:rFonts w:eastAsiaTheme="majorEastAsia" w:cstheme="majorBidi"/>
      <w:b/>
      <w:bCs/>
      <w:i/>
      <w:iCs/>
      <w:color w:val="0091AE"/>
    </w:rPr>
  </w:style>
  <w:style w:type="paragraph" w:styleId="Cmsor5">
    <w:name w:val="heading 5"/>
    <w:basedOn w:val="Norml"/>
    <w:next w:val="Norml"/>
    <w:link w:val="Cmsor5Char"/>
    <w:unhideWhenUsed/>
    <w:qFormat/>
    <w:rsid w:val="00D80C81"/>
    <w:pPr>
      <w:keepNext/>
      <w:keepLines/>
      <w:numPr>
        <w:ilvl w:val="4"/>
        <w:numId w:val="19"/>
      </w:numPr>
      <w:spacing w:before="200"/>
      <w:outlineLvl w:val="4"/>
    </w:pPr>
    <w:rPr>
      <w:rFonts w:eastAsiaTheme="majorEastAsia" w:cstheme="majorBidi"/>
      <w:i/>
      <w:color w:val="4F81BD" w:themeColor="accent1"/>
    </w:rPr>
  </w:style>
  <w:style w:type="paragraph" w:styleId="Cmsor6">
    <w:name w:val="heading 6"/>
    <w:basedOn w:val="Norml"/>
    <w:next w:val="Norml"/>
    <w:link w:val="Cmsor6Char"/>
    <w:semiHidden/>
    <w:unhideWhenUsed/>
    <w:qFormat/>
    <w:rsid w:val="00FA2F1E"/>
    <w:pPr>
      <w:keepNext/>
      <w:keepLines/>
      <w:numPr>
        <w:ilvl w:val="5"/>
        <w:numId w:val="19"/>
      </w:numPr>
      <w:spacing w:before="200"/>
      <w:outlineLvl w:val="5"/>
    </w:pPr>
    <w:rPr>
      <w:rFonts w:eastAsiaTheme="majorEastAsia" w:cstheme="majorBidi"/>
      <w:i/>
      <w:iCs/>
      <w:color w:val="243F60" w:themeColor="accent1" w:themeShade="7F"/>
    </w:rPr>
  </w:style>
  <w:style w:type="paragraph" w:styleId="Cmsor7">
    <w:name w:val="heading 7"/>
    <w:basedOn w:val="Norml"/>
    <w:next w:val="Norml"/>
    <w:link w:val="Cmsor7Char"/>
    <w:semiHidden/>
    <w:unhideWhenUsed/>
    <w:qFormat/>
    <w:rsid w:val="00FA2F1E"/>
    <w:pPr>
      <w:keepNext/>
      <w:keepLines/>
      <w:numPr>
        <w:ilvl w:val="6"/>
        <w:numId w:val="1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semiHidden/>
    <w:unhideWhenUsed/>
    <w:qFormat/>
    <w:rsid w:val="00FA2F1E"/>
    <w:pPr>
      <w:keepNext/>
      <w:keepLines/>
      <w:numPr>
        <w:ilvl w:val="7"/>
        <w:numId w:val="19"/>
      </w:numPr>
      <w:spacing w:before="200"/>
      <w:outlineLvl w:val="7"/>
    </w:pPr>
    <w:rPr>
      <w:rFonts w:eastAsiaTheme="majorEastAsia" w:cstheme="majorBidi"/>
      <w:color w:val="404040" w:themeColor="text1" w:themeTint="BF"/>
      <w:sz w:val="20"/>
      <w:szCs w:val="20"/>
    </w:rPr>
  </w:style>
  <w:style w:type="paragraph" w:styleId="Cmsor9">
    <w:name w:val="heading 9"/>
    <w:basedOn w:val="Norml"/>
    <w:next w:val="Norml"/>
    <w:link w:val="Cmsor9Char"/>
    <w:semiHidden/>
    <w:unhideWhenUsed/>
    <w:qFormat/>
    <w:rsid w:val="00FA2F1E"/>
    <w:pPr>
      <w:keepNext/>
      <w:keepLines/>
      <w:numPr>
        <w:ilvl w:val="8"/>
        <w:numId w:val="19"/>
      </w:numPr>
      <w:spacing w:before="200"/>
      <w:outlineLvl w:val="8"/>
    </w:pPr>
    <w:rPr>
      <w:rFonts w:eastAsiaTheme="majorEastAsia"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71553B"/>
    <w:pPr>
      <w:tabs>
        <w:tab w:val="center" w:pos="4536"/>
        <w:tab w:val="right" w:pos="9072"/>
      </w:tabs>
    </w:pPr>
    <w:rPr>
      <w:i/>
      <w:color w:val="0091AE"/>
      <w:sz w:val="18"/>
    </w:rPr>
  </w:style>
  <w:style w:type="paragraph" w:styleId="llb">
    <w:name w:val="footer"/>
    <w:basedOn w:val="Norml"/>
    <w:link w:val="llbChar"/>
    <w:uiPriority w:val="99"/>
    <w:rsid w:val="0077039D"/>
    <w:pPr>
      <w:pBdr>
        <w:top w:val="single" w:sz="8" w:space="1" w:color="AC7109"/>
      </w:pBdr>
      <w:tabs>
        <w:tab w:val="center" w:pos="4536"/>
        <w:tab w:val="right" w:pos="9072"/>
      </w:tabs>
      <w:jc w:val="left"/>
    </w:pPr>
    <w:rPr>
      <w:i/>
      <w:color w:val="AC7109"/>
      <w:sz w:val="18"/>
    </w:rPr>
  </w:style>
  <w:style w:type="table" w:styleId="Rcsostblzat">
    <w:name w:val="Table Grid"/>
    <w:basedOn w:val="Normltblzat"/>
    <w:rsid w:val="00F413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aszerbekezds">
    <w:name w:val="List Paragraph"/>
    <w:aliases w:val="nyíl"/>
    <w:basedOn w:val="Norml"/>
    <w:uiPriority w:val="34"/>
    <w:qFormat/>
    <w:rsid w:val="00871117"/>
    <w:pPr>
      <w:numPr>
        <w:ilvl w:val="2"/>
        <w:numId w:val="3"/>
      </w:numPr>
      <w:tabs>
        <w:tab w:val="clear" w:pos="502"/>
      </w:tabs>
      <w:ind w:left="851" w:hanging="567"/>
    </w:pPr>
  </w:style>
  <w:style w:type="paragraph" w:customStyle="1" w:styleId="Kiemeltkk">
    <w:name w:val="Kiemelt kék"/>
    <w:basedOn w:val="Norml"/>
    <w:qFormat/>
    <w:rsid w:val="00F11385"/>
    <w:pPr>
      <w:keepNext/>
    </w:pPr>
    <w:rPr>
      <w:b/>
      <w:color w:val="0091AE"/>
    </w:rPr>
  </w:style>
  <w:style w:type="paragraph" w:customStyle="1" w:styleId="Kiemeltbarna">
    <w:name w:val="Kiemelt barna"/>
    <w:basedOn w:val="Norml"/>
    <w:qFormat/>
    <w:rsid w:val="00374884"/>
    <w:pPr>
      <w:keepNext/>
    </w:pPr>
    <w:rPr>
      <w:b/>
      <w:color w:val="AC7109"/>
    </w:rPr>
  </w:style>
  <w:style w:type="character" w:styleId="Jegyzethivatkozs">
    <w:name w:val="annotation reference"/>
    <w:basedOn w:val="Bekezdsalapbettpusa"/>
    <w:rsid w:val="00E4183B"/>
    <w:rPr>
      <w:sz w:val="16"/>
      <w:szCs w:val="16"/>
    </w:rPr>
  </w:style>
  <w:style w:type="paragraph" w:styleId="Jegyzetszveg">
    <w:name w:val="annotation text"/>
    <w:basedOn w:val="Norml"/>
    <w:link w:val="JegyzetszvegChar"/>
    <w:uiPriority w:val="99"/>
    <w:rsid w:val="00E4183B"/>
    <w:rPr>
      <w:sz w:val="20"/>
      <w:szCs w:val="20"/>
    </w:rPr>
  </w:style>
  <w:style w:type="character" w:customStyle="1" w:styleId="JegyzetszvegChar">
    <w:name w:val="Jegyzetszöveg Char"/>
    <w:basedOn w:val="Bekezdsalapbettpusa"/>
    <w:link w:val="Jegyzetszveg"/>
    <w:uiPriority w:val="99"/>
    <w:rsid w:val="00E4183B"/>
    <w:rPr>
      <w:rFonts w:asciiTheme="majorHAnsi" w:hAnsiTheme="majorHAnsi"/>
    </w:rPr>
  </w:style>
  <w:style w:type="paragraph" w:styleId="Megjegyzstrgya">
    <w:name w:val="annotation subject"/>
    <w:basedOn w:val="Jegyzetszveg"/>
    <w:next w:val="Jegyzetszveg"/>
    <w:link w:val="MegjegyzstrgyaChar"/>
    <w:rsid w:val="00E4183B"/>
    <w:rPr>
      <w:b/>
      <w:bCs/>
    </w:rPr>
  </w:style>
  <w:style w:type="character" w:customStyle="1" w:styleId="MegjegyzstrgyaChar">
    <w:name w:val="Megjegyzés tárgya Char"/>
    <w:basedOn w:val="JegyzetszvegChar"/>
    <w:link w:val="Megjegyzstrgya"/>
    <w:rsid w:val="00E4183B"/>
    <w:rPr>
      <w:rFonts w:asciiTheme="majorHAnsi" w:hAnsiTheme="majorHAnsi"/>
      <w:b/>
      <w:bCs/>
    </w:rPr>
  </w:style>
  <w:style w:type="paragraph" w:styleId="Buborkszveg">
    <w:name w:val="Balloon Text"/>
    <w:basedOn w:val="Norml"/>
    <w:link w:val="BuborkszvegChar"/>
    <w:rsid w:val="00E4183B"/>
    <w:rPr>
      <w:rFonts w:ascii="Tahoma" w:hAnsi="Tahoma" w:cs="Tahoma"/>
      <w:sz w:val="16"/>
      <w:szCs w:val="16"/>
    </w:rPr>
  </w:style>
  <w:style w:type="character" w:customStyle="1" w:styleId="BuborkszvegChar">
    <w:name w:val="Buborékszöveg Char"/>
    <w:basedOn w:val="Bekezdsalapbettpusa"/>
    <w:link w:val="Buborkszveg"/>
    <w:rsid w:val="00E4183B"/>
    <w:rPr>
      <w:rFonts w:ascii="Tahoma" w:hAnsi="Tahoma" w:cs="Tahoma"/>
      <w:sz w:val="16"/>
      <w:szCs w:val="16"/>
    </w:rPr>
  </w:style>
  <w:style w:type="character" w:customStyle="1" w:styleId="Cmsor1Char">
    <w:name w:val="Címsor 1 Char"/>
    <w:basedOn w:val="Bekezdsalapbettpusa"/>
    <w:link w:val="Cmsor1"/>
    <w:rsid w:val="005851BB"/>
    <w:rPr>
      <w:rFonts w:ascii="Arial" w:eastAsiaTheme="majorEastAsia" w:hAnsi="Arial" w:cstheme="majorBidi"/>
      <w:b/>
      <w:bCs/>
      <w:color w:val="0091AE"/>
      <w:sz w:val="28"/>
      <w:szCs w:val="28"/>
      <w:shd w:val="clear" w:color="auto" w:fill="D9D9D9" w:themeFill="background1" w:themeFillShade="D9"/>
      <w:lang w:val="en-US"/>
    </w:rPr>
  </w:style>
  <w:style w:type="character" w:customStyle="1" w:styleId="Cmsor2Char">
    <w:name w:val="Címsor 2 Char"/>
    <w:basedOn w:val="Bekezdsalapbettpusa"/>
    <w:link w:val="Cmsor2"/>
    <w:rsid w:val="005851BB"/>
    <w:rPr>
      <w:rFonts w:ascii="Arial" w:eastAsiaTheme="majorEastAsia" w:hAnsi="Arial" w:cstheme="majorBidi"/>
      <w:b/>
      <w:bCs/>
      <w:color w:val="0091AE"/>
      <w:sz w:val="26"/>
      <w:szCs w:val="26"/>
      <w:lang w:val="en-US"/>
    </w:rPr>
  </w:style>
  <w:style w:type="character" w:customStyle="1" w:styleId="Cmsor3Char">
    <w:name w:val="Címsor 3 Char"/>
    <w:basedOn w:val="Bekezdsalapbettpusa"/>
    <w:link w:val="Cmsor3"/>
    <w:rsid w:val="005851BB"/>
    <w:rPr>
      <w:rFonts w:ascii="Arial" w:eastAsiaTheme="majorEastAsia" w:hAnsi="Arial" w:cstheme="majorBidi"/>
      <w:b/>
      <w:bCs/>
      <w:color w:val="0091AE"/>
      <w:sz w:val="22"/>
      <w:szCs w:val="24"/>
      <w:lang w:val="en-US"/>
    </w:rPr>
  </w:style>
  <w:style w:type="character" w:customStyle="1" w:styleId="Cmsor4Char">
    <w:name w:val="Címsor 4 Char"/>
    <w:basedOn w:val="Bekezdsalapbettpusa"/>
    <w:link w:val="Cmsor4"/>
    <w:rsid w:val="005851BB"/>
    <w:rPr>
      <w:rFonts w:ascii="Arial" w:eastAsiaTheme="majorEastAsia" w:hAnsi="Arial" w:cstheme="majorBidi"/>
      <w:b/>
      <w:bCs/>
      <w:i/>
      <w:iCs/>
      <w:color w:val="0091AE"/>
      <w:sz w:val="22"/>
      <w:szCs w:val="24"/>
      <w:lang w:val="en-US"/>
    </w:rPr>
  </w:style>
  <w:style w:type="character" w:customStyle="1" w:styleId="Cmsor5Char">
    <w:name w:val="Címsor 5 Char"/>
    <w:basedOn w:val="Bekezdsalapbettpusa"/>
    <w:link w:val="Cmsor5"/>
    <w:rsid w:val="00D80C81"/>
    <w:rPr>
      <w:rFonts w:ascii="Arial" w:eastAsiaTheme="majorEastAsia" w:hAnsi="Arial" w:cstheme="majorBidi"/>
      <w:i/>
      <w:color w:val="4F81BD" w:themeColor="accent1"/>
      <w:sz w:val="22"/>
      <w:szCs w:val="24"/>
      <w:lang w:val="en-US"/>
    </w:rPr>
  </w:style>
  <w:style w:type="character" w:customStyle="1" w:styleId="Cmsor6Char">
    <w:name w:val="Címsor 6 Char"/>
    <w:basedOn w:val="Bekezdsalapbettpusa"/>
    <w:link w:val="Cmsor6"/>
    <w:semiHidden/>
    <w:rsid w:val="00FA2F1E"/>
    <w:rPr>
      <w:rFonts w:ascii="Arial" w:eastAsiaTheme="majorEastAsia" w:hAnsi="Arial" w:cstheme="majorBidi"/>
      <w:i/>
      <w:iCs/>
      <w:color w:val="243F60" w:themeColor="accent1" w:themeShade="7F"/>
      <w:sz w:val="22"/>
      <w:szCs w:val="24"/>
      <w:lang w:val="en-US"/>
    </w:rPr>
  </w:style>
  <w:style w:type="character" w:customStyle="1" w:styleId="Cmsor7Char">
    <w:name w:val="Címsor 7 Char"/>
    <w:basedOn w:val="Bekezdsalapbettpusa"/>
    <w:link w:val="Cmsor7"/>
    <w:semiHidden/>
    <w:rsid w:val="00FA2F1E"/>
    <w:rPr>
      <w:rFonts w:ascii="Arial" w:eastAsiaTheme="majorEastAsia" w:hAnsi="Arial" w:cstheme="majorBidi"/>
      <w:i/>
      <w:iCs/>
      <w:color w:val="404040" w:themeColor="text1" w:themeTint="BF"/>
      <w:sz w:val="22"/>
      <w:szCs w:val="24"/>
      <w:lang w:val="en-US"/>
    </w:rPr>
  </w:style>
  <w:style w:type="character" w:customStyle="1" w:styleId="Cmsor8Char">
    <w:name w:val="Címsor 8 Char"/>
    <w:basedOn w:val="Bekezdsalapbettpusa"/>
    <w:link w:val="Cmsor8"/>
    <w:semiHidden/>
    <w:rsid w:val="00FA2F1E"/>
    <w:rPr>
      <w:rFonts w:ascii="Arial" w:eastAsiaTheme="majorEastAsia" w:hAnsi="Arial" w:cstheme="majorBidi"/>
      <w:color w:val="404040" w:themeColor="text1" w:themeTint="BF"/>
      <w:lang w:val="en-US"/>
    </w:rPr>
  </w:style>
  <w:style w:type="character" w:customStyle="1" w:styleId="Cmsor9Char">
    <w:name w:val="Címsor 9 Char"/>
    <w:basedOn w:val="Bekezdsalapbettpusa"/>
    <w:link w:val="Cmsor9"/>
    <w:semiHidden/>
    <w:rsid w:val="00FA2F1E"/>
    <w:rPr>
      <w:rFonts w:ascii="Arial" w:eastAsiaTheme="majorEastAsia" w:hAnsi="Arial" w:cstheme="majorBidi"/>
      <w:i/>
      <w:iCs/>
      <w:color w:val="404040" w:themeColor="text1" w:themeTint="BF"/>
      <w:lang w:val="en-US"/>
    </w:rPr>
  </w:style>
  <w:style w:type="paragraph" w:customStyle="1" w:styleId="Fcm">
    <w:name w:val="Fő cím"/>
    <w:basedOn w:val="Norml"/>
    <w:next w:val="Cm"/>
    <w:qFormat/>
    <w:rsid w:val="0049722A"/>
    <w:pPr>
      <w:jc w:val="center"/>
    </w:pPr>
    <w:rPr>
      <w:b/>
      <w:color w:val="4BACC6" w:themeColor="accent5"/>
      <w:sz w:val="40"/>
    </w:rPr>
  </w:style>
  <w:style w:type="paragraph" w:styleId="Tartalomjegyzkcmsora">
    <w:name w:val="TOC Heading"/>
    <w:basedOn w:val="Cmsor1"/>
    <w:next w:val="Norml"/>
    <w:uiPriority w:val="39"/>
    <w:unhideWhenUsed/>
    <w:qFormat/>
    <w:rsid w:val="000331A0"/>
    <w:pPr>
      <w:numPr>
        <w:numId w:val="0"/>
      </w:numPr>
      <w:spacing w:line="276" w:lineRule="auto"/>
      <w:outlineLvl w:val="9"/>
    </w:pPr>
    <w:rPr>
      <w:lang w:val="hu-HU" w:eastAsia="en-US"/>
    </w:rPr>
  </w:style>
  <w:style w:type="paragraph" w:styleId="Cm">
    <w:name w:val="Title"/>
    <w:basedOn w:val="Norml"/>
    <w:next w:val="Norml"/>
    <w:link w:val="CmChar"/>
    <w:qFormat/>
    <w:rsid w:val="00A50185"/>
    <w:pPr>
      <w:pageBreakBefore/>
      <w:pBdr>
        <w:top w:val="single" w:sz="8" w:space="10" w:color="FFFFFF" w:themeColor="background1"/>
        <w:left w:val="single" w:sz="8" w:space="4" w:color="FFFFFF" w:themeColor="background1"/>
        <w:bottom w:val="single" w:sz="8" w:space="10" w:color="FFFFFF" w:themeColor="background1"/>
        <w:right w:val="single" w:sz="8" w:space="4" w:color="FFFFFF" w:themeColor="background1"/>
      </w:pBdr>
      <w:shd w:val="clear" w:color="auto" w:fill="4BACC6" w:themeFill="accent5"/>
      <w:spacing w:before="0" w:after="300" w:line="240" w:lineRule="auto"/>
      <w:contextualSpacing/>
      <w:jc w:val="center"/>
      <w:outlineLvl w:val="0"/>
    </w:pPr>
    <w:rPr>
      <w:rFonts w:eastAsiaTheme="majorEastAsia" w:cstheme="majorBidi"/>
      <w:b/>
      <w:smallCaps/>
      <w:color w:val="FFFFFF" w:themeColor="background1"/>
      <w:spacing w:val="5"/>
      <w:kern w:val="28"/>
      <w:sz w:val="40"/>
      <w:szCs w:val="52"/>
    </w:rPr>
  </w:style>
  <w:style w:type="character" w:customStyle="1" w:styleId="CmChar">
    <w:name w:val="Cím Char"/>
    <w:basedOn w:val="Bekezdsalapbettpusa"/>
    <w:link w:val="Cm"/>
    <w:rsid w:val="00A50185"/>
    <w:rPr>
      <w:rFonts w:asciiTheme="majorHAnsi" w:eastAsiaTheme="majorEastAsia" w:hAnsiTheme="majorHAnsi" w:cstheme="majorBidi"/>
      <w:b/>
      <w:smallCaps/>
      <w:color w:val="FFFFFF" w:themeColor="background1"/>
      <w:spacing w:val="5"/>
      <w:kern w:val="28"/>
      <w:sz w:val="40"/>
      <w:szCs w:val="52"/>
      <w:shd w:val="clear" w:color="auto" w:fill="4BACC6" w:themeFill="accent5"/>
      <w:lang w:val="en-US"/>
    </w:rPr>
  </w:style>
  <w:style w:type="paragraph" w:styleId="TJ1">
    <w:name w:val="toc 1"/>
    <w:basedOn w:val="Norml"/>
    <w:next w:val="Norml"/>
    <w:autoRedefine/>
    <w:uiPriority w:val="39"/>
    <w:rsid w:val="000331A0"/>
    <w:pPr>
      <w:spacing w:after="100"/>
    </w:pPr>
    <w:rPr>
      <w:b/>
      <w:color w:val="4BACC6" w:themeColor="accent5"/>
    </w:rPr>
  </w:style>
  <w:style w:type="paragraph" w:styleId="TJ2">
    <w:name w:val="toc 2"/>
    <w:basedOn w:val="Norml"/>
    <w:next w:val="Norml"/>
    <w:autoRedefine/>
    <w:uiPriority w:val="39"/>
    <w:rsid w:val="000331A0"/>
    <w:pPr>
      <w:spacing w:after="100"/>
      <w:ind w:left="240"/>
    </w:pPr>
  </w:style>
  <w:style w:type="paragraph" w:styleId="TJ3">
    <w:name w:val="toc 3"/>
    <w:basedOn w:val="Norml"/>
    <w:next w:val="Norml"/>
    <w:autoRedefine/>
    <w:uiPriority w:val="39"/>
    <w:rsid w:val="000331A0"/>
    <w:pPr>
      <w:spacing w:after="100"/>
      <w:ind w:left="480"/>
    </w:pPr>
  </w:style>
  <w:style w:type="character" w:styleId="Hiperhivatkozs">
    <w:name w:val="Hyperlink"/>
    <w:basedOn w:val="Bekezdsalapbettpusa"/>
    <w:uiPriority w:val="99"/>
    <w:unhideWhenUsed/>
    <w:rsid w:val="000331A0"/>
    <w:rPr>
      <w:color w:val="0000FF" w:themeColor="hyperlink"/>
      <w:u w:val="single"/>
    </w:rPr>
  </w:style>
  <w:style w:type="paragraph" w:customStyle="1" w:styleId="Cmsor1annex">
    <w:name w:val="Címsor 1 annex"/>
    <w:basedOn w:val="Cmsor1"/>
    <w:rsid w:val="001B2212"/>
    <w:pPr>
      <w:numPr>
        <w:numId w:val="7"/>
      </w:numPr>
      <w:pBdr>
        <w:top w:val="single" w:sz="12" w:space="2" w:color="4BACC6" w:themeColor="accent5"/>
        <w:left w:val="single" w:sz="12" w:space="4" w:color="4BACC6" w:themeColor="accent5"/>
        <w:bottom w:val="single" w:sz="12" w:space="2" w:color="4BACC6" w:themeColor="accent5"/>
        <w:right w:val="single" w:sz="12" w:space="4" w:color="4BACC6" w:themeColor="accent5"/>
      </w:pBdr>
      <w:shd w:val="clear" w:color="auto" w:fill="DAEEF3" w:themeFill="accent5" w:themeFillTint="33"/>
    </w:pPr>
  </w:style>
  <w:style w:type="character" w:customStyle="1" w:styleId="llbChar">
    <w:name w:val="Élőláb Char"/>
    <w:basedOn w:val="Bekezdsalapbettpusa"/>
    <w:link w:val="llb"/>
    <w:uiPriority w:val="99"/>
    <w:rsid w:val="0077039D"/>
    <w:rPr>
      <w:rFonts w:ascii="Arial" w:hAnsi="Arial"/>
      <w:i/>
      <w:color w:val="AC7109"/>
      <w:sz w:val="18"/>
      <w:szCs w:val="24"/>
      <w:lang w:val="en-US"/>
    </w:rPr>
  </w:style>
  <w:style w:type="paragraph" w:customStyle="1" w:styleId="Normlbalra">
    <w:name w:val="Normál balra"/>
    <w:basedOn w:val="Norml"/>
    <w:qFormat/>
    <w:rsid w:val="00381948"/>
    <w:pPr>
      <w:spacing w:before="60" w:line="264" w:lineRule="auto"/>
      <w:jc w:val="left"/>
    </w:pPr>
  </w:style>
  <w:style w:type="paragraph" w:customStyle="1" w:styleId="StlusNormlbalraFlkvr1httrKiskapitlis">
    <w:name w:val="Stílus Normál balra + Félkövér 1. háttér Kiskapitális"/>
    <w:basedOn w:val="Normlbalra"/>
    <w:rsid w:val="00D10FCC"/>
    <w:pPr>
      <w:keepNext/>
    </w:pPr>
    <w:rPr>
      <w:b/>
      <w:bCs/>
      <w:smallCaps/>
      <w:color w:val="FFFFFF" w:themeColor="background1"/>
    </w:rPr>
  </w:style>
  <w:style w:type="paragraph" w:customStyle="1" w:styleId="Normalrgles">
    <w:name w:val="Normal règles"/>
    <w:basedOn w:val="Cmsor4"/>
    <w:rsid w:val="00673124"/>
    <w:pPr>
      <w:keepLines w:val="0"/>
      <w:widowControl w:val="0"/>
      <w:numPr>
        <w:ilvl w:val="0"/>
        <w:numId w:val="0"/>
      </w:numPr>
      <w:adjustRightInd w:val="0"/>
      <w:spacing w:before="0" w:line="360" w:lineRule="atLeast"/>
      <w:ind w:left="1418"/>
      <w:textAlignment w:val="baseline"/>
    </w:pPr>
    <w:rPr>
      <w:rFonts w:eastAsia="Times New Roman" w:cs="Arial"/>
      <w:b w:val="0"/>
      <w:i w:val="0"/>
      <w:iCs w:val="0"/>
      <w:color w:val="auto"/>
      <w:sz w:val="20"/>
      <w:lang w:val="fr-FR" w:eastAsia="fr-FR"/>
    </w:rPr>
  </w:style>
  <w:style w:type="paragraph" w:styleId="TJ4">
    <w:name w:val="toc 4"/>
    <w:basedOn w:val="Norml"/>
    <w:next w:val="Norml"/>
    <w:autoRedefine/>
    <w:rsid w:val="006B382B"/>
    <w:pPr>
      <w:spacing w:after="100"/>
      <w:ind w:left="720"/>
    </w:pPr>
  </w:style>
  <w:style w:type="paragraph" w:styleId="Vltozat">
    <w:name w:val="Revision"/>
    <w:hidden/>
    <w:uiPriority w:val="99"/>
    <w:semiHidden/>
    <w:rsid w:val="0012792C"/>
    <w:rPr>
      <w:rFonts w:ascii="Arial" w:hAnsi="Arial"/>
      <w:sz w:val="22"/>
      <w:szCs w:val="24"/>
      <w:lang w:val="en-US"/>
    </w:rPr>
  </w:style>
  <w:style w:type="character" w:customStyle="1" w:styleId="shorttext">
    <w:name w:val="short_text"/>
    <w:basedOn w:val="Bekezdsalapbettpusa"/>
    <w:rsid w:val="00CE38DC"/>
  </w:style>
  <w:style w:type="character" w:customStyle="1" w:styleId="hps">
    <w:name w:val="hps"/>
    <w:basedOn w:val="Bekezdsalapbettpusa"/>
    <w:rsid w:val="00CE38DC"/>
  </w:style>
  <w:style w:type="paragraph" w:styleId="HTML-kntformzott">
    <w:name w:val="HTML Preformatted"/>
    <w:basedOn w:val="Norml"/>
    <w:link w:val="HTML-kntformzottChar"/>
    <w:uiPriority w:val="99"/>
    <w:semiHidden/>
    <w:unhideWhenUsed/>
    <w:rsid w:val="00C5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 w:val="20"/>
      <w:szCs w:val="20"/>
      <w:lang w:val="hu-HU"/>
    </w:rPr>
  </w:style>
  <w:style w:type="character" w:customStyle="1" w:styleId="HTML-kntformzottChar">
    <w:name w:val="HTML-ként formázott Char"/>
    <w:basedOn w:val="Bekezdsalapbettpusa"/>
    <w:link w:val="HTML-kntformzott"/>
    <w:uiPriority w:val="99"/>
    <w:semiHidden/>
    <w:rsid w:val="00C57C17"/>
    <w:rPr>
      <w:rFonts w:ascii="Courier New" w:hAnsi="Courier New" w:cs="Courier New"/>
    </w:rPr>
  </w:style>
  <w:style w:type="character" w:styleId="Kiemels2">
    <w:name w:val="Strong"/>
    <w:basedOn w:val="Bekezdsalapbettpusa"/>
    <w:uiPriority w:val="22"/>
    <w:qFormat/>
    <w:rsid w:val="00BF31FA"/>
    <w:rPr>
      <w:b/>
      <w:bCs/>
    </w:rPr>
  </w:style>
  <w:style w:type="character" w:customStyle="1" w:styleId="Kiemelsbordbold">
    <w:name w:val="Kiemelés bordó+bold"/>
    <w:basedOn w:val="Bekezdsalapbettpusa"/>
    <w:uiPriority w:val="1"/>
    <w:qFormat/>
    <w:rsid w:val="001529F0"/>
    <w:rPr>
      <w:rFonts w:ascii="Arial" w:hAnsi="Arial"/>
      <w:b/>
      <w:color w:val="AA2454"/>
      <w:sz w:val="22"/>
    </w:rPr>
  </w:style>
  <w:style w:type="character" w:styleId="Finomkiemels">
    <w:name w:val="Subtle Emphasis"/>
    <w:basedOn w:val="Bekezdsalapbettpusa"/>
    <w:uiPriority w:val="19"/>
    <w:qFormat/>
    <w:rsid w:val="001529F0"/>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5599">
      <w:bodyDiv w:val="1"/>
      <w:marLeft w:val="0"/>
      <w:marRight w:val="0"/>
      <w:marTop w:val="0"/>
      <w:marBottom w:val="0"/>
      <w:divBdr>
        <w:top w:val="none" w:sz="0" w:space="0" w:color="auto"/>
        <w:left w:val="none" w:sz="0" w:space="0" w:color="auto"/>
        <w:bottom w:val="none" w:sz="0" w:space="0" w:color="auto"/>
        <w:right w:val="none" w:sz="0" w:space="0" w:color="auto"/>
      </w:divBdr>
      <w:divsChild>
        <w:div w:id="1977836291">
          <w:marLeft w:val="994"/>
          <w:marRight w:val="0"/>
          <w:marTop w:val="120"/>
          <w:marBottom w:val="0"/>
          <w:divBdr>
            <w:top w:val="none" w:sz="0" w:space="0" w:color="auto"/>
            <w:left w:val="none" w:sz="0" w:space="0" w:color="auto"/>
            <w:bottom w:val="none" w:sz="0" w:space="0" w:color="auto"/>
            <w:right w:val="none" w:sz="0" w:space="0" w:color="auto"/>
          </w:divBdr>
        </w:div>
      </w:divsChild>
    </w:div>
    <w:div w:id="1045179646">
      <w:bodyDiv w:val="1"/>
      <w:marLeft w:val="0"/>
      <w:marRight w:val="0"/>
      <w:marTop w:val="0"/>
      <w:marBottom w:val="0"/>
      <w:divBdr>
        <w:top w:val="none" w:sz="0" w:space="0" w:color="auto"/>
        <w:left w:val="none" w:sz="0" w:space="0" w:color="auto"/>
        <w:bottom w:val="none" w:sz="0" w:space="0" w:color="auto"/>
        <w:right w:val="none" w:sz="0" w:space="0" w:color="auto"/>
      </w:divBdr>
    </w:div>
    <w:div w:id="1098253228">
      <w:bodyDiv w:val="1"/>
      <w:marLeft w:val="0"/>
      <w:marRight w:val="0"/>
      <w:marTop w:val="0"/>
      <w:marBottom w:val="0"/>
      <w:divBdr>
        <w:top w:val="none" w:sz="0" w:space="0" w:color="auto"/>
        <w:left w:val="none" w:sz="0" w:space="0" w:color="auto"/>
        <w:bottom w:val="none" w:sz="0" w:space="0" w:color="auto"/>
        <w:right w:val="none" w:sz="0" w:space="0" w:color="auto"/>
      </w:divBdr>
    </w:div>
    <w:div w:id="1254584204">
      <w:bodyDiv w:val="1"/>
      <w:marLeft w:val="0"/>
      <w:marRight w:val="0"/>
      <w:marTop w:val="0"/>
      <w:marBottom w:val="0"/>
      <w:divBdr>
        <w:top w:val="none" w:sz="0" w:space="0" w:color="auto"/>
        <w:left w:val="none" w:sz="0" w:space="0" w:color="auto"/>
        <w:bottom w:val="none" w:sz="0" w:space="0" w:color="auto"/>
        <w:right w:val="none" w:sz="0" w:space="0" w:color="auto"/>
      </w:divBdr>
      <w:divsChild>
        <w:div w:id="2044162618">
          <w:marLeft w:val="994"/>
          <w:marRight w:val="0"/>
          <w:marTop w:val="120"/>
          <w:marBottom w:val="0"/>
          <w:divBdr>
            <w:top w:val="none" w:sz="0" w:space="0" w:color="auto"/>
            <w:left w:val="none" w:sz="0" w:space="0" w:color="auto"/>
            <w:bottom w:val="none" w:sz="0" w:space="0" w:color="auto"/>
            <w:right w:val="none" w:sz="0" w:space="0" w:color="auto"/>
          </w:divBdr>
        </w:div>
      </w:divsChild>
    </w:div>
    <w:div w:id="1522817189">
      <w:bodyDiv w:val="1"/>
      <w:marLeft w:val="0"/>
      <w:marRight w:val="0"/>
      <w:marTop w:val="0"/>
      <w:marBottom w:val="0"/>
      <w:divBdr>
        <w:top w:val="none" w:sz="0" w:space="0" w:color="auto"/>
        <w:left w:val="none" w:sz="0" w:space="0" w:color="auto"/>
        <w:bottom w:val="none" w:sz="0" w:space="0" w:color="auto"/>
        <w:right w:val="none" w:sz="0" w:space="0" w:color="auto"/>
      </w:divBdr>
    </w:div>
    <w:div w:id="1718117157">
      <w:bodyDiv w:val="1"/>
      <w:marLeft w:val="0"/>
      <w:marRight w:val="0"/>
      <w:marTop w:val="0"/>
      <w:marBottom w:val="0"/>
      <w:divBdr>
        <w:top w:val="none" w:sz="0" w:space="0" w:color="auto"/>
        <w:left w:val="none" w:sz="0" w:space="0" w:color="auto"/>
        <w:bottom w:val="none" w:sz="0" w:space="0" w:color="auto"/>
        <w:right w:val="none" w:sz="0" w:space="0" w:color="auto"/>
      </w:divBdr>
    </w:div>
    <w:div w:id="20257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600F3-82F7-46FC-B76F-B591985C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1389</Words>
  <Characters>7423</Characters>
  <Application>Microsoft Office Word</Application>
  <DocSecurity>0</DocSecurity>
  <Lines>61</Lines>
  <Paragraphs>17</Paragraphs>
  <ScaleCrop>false</ScaleCrop>
  <HeadingPairs>
    <vt:vector size="2" baseType="variant">
      <vt:variant>
        <vt:lpstr>Cím</vt:lpstr>
      </vt:variant>
      <vt:variant>
        <vt:i4>1</vt:i4>
      </vt:variant>
    </vt:vector>
  </HeadingPairs>
  <TitlesOfParts>
    <vt:vector size="1" baseType="lpstr">
      <vt:lpstr/>
    </vt:vector>
  </TitlesOfParts>
  <Company>Allison</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Lajtai Roland</dc:creator>
  <cp:lastModifiedBy>Almási Noémi</cp:lastModifiedBy>
  <cp:revision>9</cp:revision>
  <cp:lastPrinted>2018-01-26T13:39:00Z</cp:lastPrinted>
  <dcterms:created xsi:type="dcterms:W3CDTF">2018-08-30T11:40:00Z</dcterms:created>
  <dcterms:modified xsi:type="dcterms:W3CDTF">2018-10-12T13:30:00Z</dcterms:modified>
</cp:coreProperties>
</file>